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beforeLines="50"/>
        <w:jc w:val="distribute"/>
        <w:rPr>
          <w:rFonts w:ascii="方正大标宋简体" w:eastAsia="方正大标宋简体"/>
          <w:bCs/>
          <w:color w:val="FF0000"/>
          <w:spacing w:val="-30"/>
          <w:w w:val="65"/>
          <w:sz w:val="100"/>
          <w:szCs w:val="100"/>
        </w:rPr>
      </w:pPr>
      <w:r>
        <w:rPr>
          <w:rFonts w:hint="eastAsia" w:ascii="方正大标宋简体" w:eastAsia="方正大标宋简体"/>
          <w:bCs/>
          <w:color w:val="FF0000"/>
          <w:spacing w:val="-30"/>
          <w:w w:val="65"/>
          <w:sz w:val="100"/>
          <w:szCs w:val="100"/>
        </w:rPr>
        <w:t>太仓市人才工作领导小组办公室</w:t>
      </w:r>
    </w:p>
    <w:p>
      <w:pPr>
        <w:spacing w:afterLines="50"/>
        <w:jc w:val="distribute"/>
        <w:rPr>
          <w:rFonts w:ascii="方正大标宋简体" w:eastAsia="方正大标宋简体"/>
          <w:bCs/>
          <w:color w:val="FF0000"/>
          <w:spacing w:val="-30"/>
          <w:w w:val="70"/>
          <w:sz w:val="100"/>
          <w:szCs w:val="100"/>
        </w:rPr>
      </w:pPr>
      <w:r>
        <w:rPr>
          <w:rFonts w:hint="eastAsia" w:ascii="方正大标宋简体" w:eastAsia="方正大标宋简体"/>
          <w:bCs/>
          <w:color w:val="FF0000"/>
          <w:spacing w:val="-30"/>
          <w:w w:val="70"/>
          <w:sz w:val="100"/>
          <w:szCs w:val="100"/>
        </w:rPr>
        <w:t>太仓市人力资源和社会保障局</w:t>
      </w:r>
    </w:p>
    <w:p>
      <w:pPr>
        <w:spacing w:line="600" w:lineRule="exact"/>
        <w:jc w:val="center"/>
        <w:rPr>
          <w:rFonts w:ascii="仿宋_GB2312" w:eastAsia="仿宋_GB2312"/>
          <w:b/>
          <w:bCs/>
          <w:color w:val="FF0000"/>
          <w:w w:val="80"/>
          <w:sz w:val="32"/>
          <w:szCs w:val="32"/>
        </w:rPr>
      </w:pPr>
      <w:r>
        <w:rPr>
          <w:rFonts w:hint="eastAsia" w:ascii="仿宋_GB2312" w:eastAsia="仿宋_GB2312"/>
          <w:sz w:val="32"/>
          <w:szCs w:val="32"/>
        </w:rPr>
        <w:t>太人才办</w:t>
      </w:r>
      <w:r>
        <w:rPr>
          <w:rFonts w:hint="eastAsia" w:ascii="仿宋_GB2312" w:hAnsi="宋体" w:eastAsia="仿宋_GB2312"/>
          <w:sz w:val="32"/>
          <w:szCs w:val="32"/>
        </w:rPr>
        <w:t>〔</w:t>
      </w:r>
      <w:r>
        <w:rPr>
          <w:rFonts w:eastAsia="仿宋_GB2312"/>
          <w:sz w:val="32"/>
          <w:szCs w:val="32"/>
        </w:rPr>
        <w:t>2015</w:t>
      </w:r>
      <w:r>
        <w:rPr>
          <w:rFonts w:hint="eastAsia" w:ascii="仿宋_GB2312" w:hAnsi="宋体" w:eastAsia="仿宋_GB2312"/>
          <w:sz w:val="32"/>
          <w:szCs w:val="32"/>
        </w:rPr>
        <w:t>〕</w:t>
      </w:r>
      <w:r>
        <w:rPr>
          <w:rFonts w:eastAsia="仿宋_GB2312"/>
          <w:sz w:val="32"/>
          <w:szCs w:val="32"/>
        </w:rPr>
        <w:t>19</w:t>
      </w:r>
      <w:r>
        <w:rPr>
          <w:rFonts w:hint="eastAsia" w:ascii="仿宋_GB2312" w:eastAsia="仿宋_GB2312"/>
          <w:sz w:val="32"/>
          <w:szCs w:val="32"/>
        </w:rPr>
        <w:t>号</w:t>
      </w:r>
    </w:p>
    <w:p>
      <w:pPr>
        <w:spacing w:line="620" w:lineRule="exact"/>
        <w:ind w:firstLine="2520" w:firstLineChars="1200"/>
        <w:rPr>
          <w:color w:val="FF0000"/>
          <w:position w:val="10"/>
          <w:sz w:val="32"/>
        </w:rPr>
      </w:pPr>
      <w:r>
        <w:pict>
          <v:line id="_x0000_s1027" o:spid="_x0000_s1027" o:spt="20" style="position:absolute;left:0pt;flip:y;margin-left:241.5pt;margin-top:10.85pt;height:0.6pt;width:201.25pt;z-index:251658240;mso-width-relative:page;mso-height-relative:page;" stroked="t" coordsize="21600,21600">
            <v:path arrowok="t"/>
            <v:fill focussize="0,0"/>
            <v:stroke weight="3pt" color="#FF0000"/>
            <v:imagedata o:title=""/>
            <o:lock v:ext="edit"/>
          </v:line>
        </w:pict>
      </w:r>
      <w:r>
        <w:pict>
          <v:line id="_x0000_s1026" o:spid="_x0000_s1026" o:spt="20" style="position:absolute;left:0pt;flip:y;margin-left:0pt;margin-top:10.85pt;height:0.6pt;width:201.25pt;z-index:251657216;mso-width-relative:page;mso-height-relative:page;" stroked="t" coordsize="21600,21600">
            <v:path arrowok="t"/>
            <v:fill focussize="0,0"/>
            <v:stroke weight="3pt" color="#FF0000"/>
            <v:imagedata o:title=""/>
            <o:lock v:ext="edit"/>
          </v:line>
        </w:pict>
      </w:r>
      <w:r>
        <w:rPr>
          <w:rFonts w:hAnsi="宋体"/>
          <w:color w:val="FF0000"/>
          <w:position w:val="10"/>
          <w:sz w:val="32"/>
        </w:rPr>
        <w:t xml:space="preserve">  </w:t>
      </w:r>
      <w:r>
        <w:rPr>
          <w:rFonts w:hint="eastAsia" w:hAnsi="宋体"/>
          <w:color w:val="FF0000"/>
          <w:position w:val="10"/>
          <w:sz w:val="32"/>
        </w:rPr>
        <w:t xml:space="preserve">         ★</w:t>
      </w:r>
      <w:r>
        <w:rPr>
          <w:color w:val="FF0000"/>
          <w:position w:val="10"/>
          <w:sz w:val="32"/>
        </w:rPr>
        <w:t xml:space="preserve">                         </w:t>
      </w:r>
    </w:p>
    <w:p>
      <w:pPr>
        <w:spacing w:line="240" w:lineRule="atLeast"/>
        <w:ind w:firstLine="3840" w:firstLineChars="1200"/>
        <w:rPr>
          <w:color w:val="FF0000"/>
          <w:position w:val="10"/>
          <w:sz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关于印发《太仓市高层次人才享受生活待遇</w:t>
      </w:r>
      <w:r>
        <w:rPr>
          <w:rFonts w:hint="eastAsia" w:ascii="方正小标宋简体" w:eastAsia="方正小标宋简体"/>
          <w:sz w:val="44"/>
          <w:szCs w:val="44"/>
        </w:rPr>
        <w:br w:type="textWrapping"/>
      </w:r>
      <w:r>
        <w:rPr>
          <w:rFonts w:hint="eastAsia" w:ascii="方正小标宋简体" w:eastAsia="方正小标宋简体"/>
          <w:sz w:val="44"/>
          <w:szCs w:val="44"/>
        </w:rPr>
        <w:t>暂行办法》的通知</w:t>
      </w:r>
    </w:p>
    <w:p>
      <w:pPr>
        <w:spacing w:line="580" w:lineRule="exact"/>
        <w:ind w:firstLine="640" w:firstLineChars="200"/>
        <w:rPr>
          <w:rFonts w:eastAsia="仿宋_GB2312"/>
          <w:sz w:val="32"/>
          <w:szCs w:val="32"/>
        </w:rPr>
      </w:pPr>
    </w:p>
    <w:p>
      <w:pPr>
        <w:overflowPunct w:val="0"/>
        <w:adjustRightInd w:val="0"/>
        <w:snapToGrid w:val="0"/>
        <w:spacing w:line="580" w:lineRule="exact"/>
        <w:rPr>
          <w:rFonts w:eastAsia="仿宋_GB2312"/>
          <w:sz w:val="32"/>
          <w:szCs w:val="32"/>
        </w:rPr>
      </w:pPr>
      <w:r>
        <w:rPr>
          <w:rFonts w:eastAsia="仿宋_GB2312"/>
          <w:sz w:val="32"/>
          <w:szCs w:val="32"/>
        </w:rPr>
        <w:t>各镇党委、政府，太仓港经济技术开发区工委和管委会，新区党委和管委会，科教新城、旅游度假区工委和管委会，娄东街道工委和办事处，市委各部委办局，市各委办局，市各人民团体，各直属单位，健雄学院：</w:t>
      </w:r>
    </w:p>
    <w:p>
      <w:pPr>
        <w:spacing w:line="580" w:lineRule="exact"/>
        <w:ind w:firstLine="640" w:firstLineChars="200"/>
        <w:rPr>
          <w:rFonts w:eastAsia="仿宋_GB2312"/>
          <w:sz w:val="32"/>
          <w:szCs w:val="32"/>
        </w:rPr>
      </w:pPr>
      <w:r>
        <w:rPr>
          <w:rFonts w:eastAsia="仿宋_GB2312"/>
          <w:sz w:val="32"/>
          <w:szCs w:val="32"/>
        </w:rPr>
        <w:t>根据《中共太仓市委  太仓市人民政府印发&lt;关于实施</w:t>
      </w:r>
      <w:r>
        <w:rPr>
          <w:rFonts w:hint="eastAsia" w:eastAsia="仿宋_GB2312"/>
          <w:sz w:val="32"/>
          <w:szCs w:val="32"/>
        </w:rPr>
        <w:t>“</w:t>
      </w:r>
      <w:r>
        <w:rPr>
          <w:rFonts w:eastAsia="仿宋_GB2312"/>
          <w:sz w:val="32"/>
          <w:szCs w:val="32"/>
        </w:rPr>
        <w:t>娄东英才</w:t>
      </w:r>
      <w:r>
        <w:rPr>
          <w:rFonts w:hint="eastAsia" w:eastAsia="仿宋_GB2312"/>
          <w:sz w:val="32"/>
          <w:szCs w:val="32"/>
        </w:rPr>
        <w:t>”</w:t>
      </w:r>
      <w:r>
        <w:rPr>
          <w:rFonts w:eastAsia="仿宋_GB2312"/>
          <w:sz w:val="32"/>
          <w:szCs w:val="32"/>
        </w:rPr>
        <w:t>工程服务经济转型升级的若干意见（2015—2020）&gt;的通知》（太委发〔2015〕28号）和《市委办公室  市政府办公室印发&lt;关于深入推进</w:t>
      </w:r>
      <w:r>
        <w:rPr>
          <w:rFonts w:hint="eastAsia" w:eastAsia="仿宋_GB2312"/>
          <w:sz w:val="32"/>
          <w:szCs w:val="32"/>
        </w:rPr>
        <w:t>“</w:t>
      </w:r>
      <w:r>
        <w:rPr>
          <w:rFonts w:eastAsia="仿宋_GB2312"/>
          <w:sz w:val="32"/>
          <w:szCs w:val="32"/>
        </w:rPr>
        <w:t>娄东英才</w:t>
      </w:r>
      <w:r>
        <w:rPr>
          <w:rFonts w:hint="eastAsia" w:eastAsia="仿宋_GB2312"/>
          <w:sz w:val="32"/>
          <w:szCs w:val="32"/>
        </w:rPr>
        <w:t>”</w:t>
      </w:r>
      <w:r>
        <w:rPr>
          <w:rFonts w:eastAsia="仿宋_GB2312"/>
          <w:sz w:val="32"/>
          <w:szCs w:val="32"/>
        </w:rPr>
        <w:t>工程的实施办法（试行）&gt;的通知》（太委办〔2015〕36号）文件精神，市人才办会同市人社局等部门研究制定了《太仓市高层次人才享受生活待遇暂行办法》，现印发给你们，请认真贯彻执行。</w:t>
      </w:r>
    </w:p>
    <w:p>
      <w:pPr>
        <w:spacing w:line="560" w:lineRule="exact"/>
        <w:ind w:firstLine="630"/>
        <w:rPr>
          <w:rFonts w:eastAsia="仿宋_GB2312"/>
          <w:sz w:val="28"/>
          <w:szCs w:val="28"/>
        </w:rPr>
      </w:pPr>
      <w:r>
        <w:rPr>
          <w:rFonts w:hint="eastAsia" w:eastAsia="仿宋_GB2312"/>
          <w:sz w:val="28"/>
          <w:szCs w:val="28"/>
        </w:rPr>
        <w:t>（此页无正文）</w:t>
      </w:r>
    </w:p>
    <w:p>
      <w:pPr>
        <w:spacing w:line="560" w:lineRule="exact"/>
        <w:ind w:firstLine="630"/>
        <w:jc w:val="center"/>
        <w:rPr>
          <w:rFonts w:eastAsia="仿宋_GB2312"/>
          <w:sz w:val="28"/>
          <w:szCs w:val="28"/>
        </w:rPr>
      </w:pPr>
    </w:p>
    <w:p>
      <w:pPr>
        <w:spacing w:line="560" w:lineRule="exact"/>
        <w:ind w:firstLine="630"/>
        <w:jc w:val="center"/>
        <w:rPr>
          <w:rFonts w:eastAsia="仿宋_GB2312"/>
          <w:sz w:val="32"/>
          <w:szCs w:val="32"/>
        </w:rPr>
      </w:pPr>
    </w:p>
    <w:p>
      <w:pPr>
        <w:spacing w:line="560" w:lineRule="exact"/>
        <w:ind w:firstLine="630"/>
        <w:jc w:val="center"/>
        <w:rPr>
          <w:rFonts w:eastAsia="仿宋_GB2312"/>
          <w:sz w:val="32"/>
          <w:szCs w:val="32"/>
        </w:rPr>
      </w:pPr>
    </w:p>
    <w:p>
      <w:pPr>
        <w:spacing w:line="560" w:lineRule="exact"/>
        <w:ind w:firstLine="630"/>
        <w:jc w:val="center"/>
        <w:rPr>
          <w:rFonts w:eastAsia="仿宋_GB2312"/>
          <w:sz w:val="32"/>
          <w:szCs w:val="32"/>
        </w:rPr>
      </w:pPr>
    </w:p>
    <w:p>
      <w:pPr>
        <w:spacing w:line="560" w:lineRule="exact"/>
        <w:ind w:firstLine="630"/>
        <w:jc w:val="center"/>
        <w:rPr>
          <w:rFonts w:eastAsia="仿宋_GB2312"/>
          <w:sz w:val="32"/>
          <w:szCs w:val="32"/>
        </w:rPr>
      </w:pPr>
    </w:p>
    <w:p>
      <w:pPr>
        <w:spacing w:line="560" w:lineRule="exact"/>
        <w:ind w:firstLine="630"/>
        <w:jc w:val="center"/>
        <w:rPr>
          <w:rFonts w:eastAsia="仿宋_GB2312"/>
          <w:sz w:val="32"/>
          <w:szCs w:val="32"/>
        </w:rPr>
      </w:pPr>
    </w:p>
    <w:p>
      <w:pPr>
        <w:spacing w:line="560" w:lineRule="exact"/>
        <w:ind w:firstLine="630"/>
        <w:jc w:val="center"/>
        <w:rPr>
          <w:rFonts w:eastAsia="仿宋_GB2312"/>
          <w:sz w:val="32"/>
          <w:szCs w:val="32"/>
        </w:rPr>
      </w:pPr>
    </w:p>
    <w:p>
      <w:pPr>
        <w:spacing w:line="580" w:lineRule="exact"/>
        <w:ind w:firstLine="629"/>
        <w:jc w:val="center"/>
        <w:rPr>
          <w:rFonts w:eastAsia="仿宋_GB2312"/>
          <w:sz w:val="32"/>
          <w:szCs w:val="32"/>
        </w:rPr>
      </w:pPr>
      <w:r>
        <w:rPr>
          <w:rFonts w:eastAsia="仿宋_GB2312"/>
          <w:sz w:val="32"/>
          <w:szCs w:val="32"/>
        </w:rPr>
        <w:t xml:space="preserve">              太仓市人才工作领导小组办公室</w:t>
      </w:r>
    </w:p>
    <w:p>
      <w:pPr>
        <w:spacing w:line="580" w:lineRule="exact"/>
        <w:ind w:firstLine="629"/>
        <w:jc w:val="center"/>
        <w:rPr>
          <w:rFonts w:eastAsia="仿宋_GB2312"/>
          <w:spacing w:val="16"/>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eastAsia="仿宋_GB2312"/>
          <w:spacing w:val="16"/>
          <w:sz w:val="32"/>
          <w:szCs w:val="32"/>
        </w:rPr>
        <w:t>太仓市人力资源和社会保障局</w:t>
      </w:r>
    </w:p>
    <w:p>
      <w:pPr>
        <w:spacing w:line="580" w:lineRule="exact"/>
        <w:ind w:firstLine="629"/>
        <w:jc w:val="center"/>
        <w:rPr>
          <w:rFonts w:eastAsia="仿宋_GB2312"/>
          <w:sz w:val="32"/>
          <w:szCs w:val="32"/>
        </w:rPr>
      </w:pPr>
      <w:r>
        <w:rPr>
          <w:rFonts w:eastAsia="仿宋_GB2312"/>
          <w:sz w:val="32"/>
          <w:szCs w:val="32"/>
        </w:rPr>
        <w:t xml:space="preserve">             2015年10月8日</w:t>
      </w:r>
    </w:p>
    <w:p>
      <w:pPr>
        <w:spacing w:line="560" w:lineRule="exact"/>
        <w:ind w:firstLine="630"/>
        <w:rPr>
          <w:rFonts w:eastAsia="仿宋_GB2312"/>
          <w:sz w:val="28"/>
          <w:szCs w:val="28"/>
        </w:rPr>
      </w:pPr>
    </w:p>
    <w:p>
      <w:pPr>
        <w:spacing w:line="560" w:lineRule="exact"/>
        <w:ind w:firstLine="630"/>
        <w:rPr>
          <w:rFonts w:eastAsia="仿宋_GB2312"/>
          <w:sz w:val="28"/>
          <w:szCs w:val="28"/>
        </w:rPr>
      </w:pPr>
    </w:p>
    <w:p>
      <w:pPr>
        <w:spacing w:line="560" w:lineRule="exact"/>
        <w:ind w:firstLine="630"/>
        <w:rPr>
          <w:rFonts w:eastAsia="仿宋_GB2312"/>
          <w:sz w:val="28"/>
          <w:szCs w:val="28"/>
        </w:rPr>
      </w:pPr>
    </w:p>
    <w:p>
      <w:pPr>
        <w:spacing w:line="560" w:lineRule="exact"/>
        <w:ind w:firstLine="630"/>
        <w:rPr>
          <w:rFonts w:eastAsia="仿宋_GB2312"/>
          <w:sz w:val="28"/>
          <w:szCs w:val="28"/>
        </w:rPr>
      </w:pPr>
    </w:p>
    <w:p>
      <w:pPr>
        <w:spacing w:line="560" w:lineRule="exact"/>
        <w:ind w:firstLine="630"/>
        <w:rPr>
          <w:rFonts w:eastAsia="仿宋_GB2312"/>
          <w:sz w:val="28"/>
          <w:szCs w:val="28"/>
        </w:rPr>
      </w:pPr>
    </w:p>
    <w:p>
      <w:pPr>
        <w:spacing w:line="560" w:lineRule="exact"/>
        <w:ind w:firstLine="630"/>
        <w:rPr>
          <w:rFonts w:eastAsia="仿宋_GB2312"/>
          <w:sz w:val="28"/>
          <w:szCs w:val="28"/>
        </w:rPr>
      </w:pPr>
    </w:p>
    <w:p>
      <w:pPr>
        <w:spacing w:line="560" w:lineRule="exact"/>
        <w:ind w:firstLine="630"/>
        <w:rPr>
          <w:rFonts w:eastAsia="仿宋_GB2312"/>
          <w:sz w:val="28"/>
          <w:szCs w:val="28"/>
        </w:rPr>
      </w:pPr>
    </w:p>
    <w:p>
      <w:pPr>
        <w:spacing w:line="560" w:lineRule="exact"/>
        <w:ind w:firstLine="630"/>
        <w:rPr>
          <w:rFonts w:eastAsia="仿宋_GB2312"/>
          <w:sz w:val="28"/>
          <w:szCs w:val="28"/>
        </w:rPr>
      </w:pPr>
    </w:p>
    <w:p>
      <w:pPr>
        <w:spacing w:line="560" w:lineRule="exact"/>
        <w:rPr>
          <w:rFonts w:eastAsia="仿宋_GB2312"/>
          <w:sz w:val="28"/>
          <w:szCs w:val="28"/>
        </w:rPr>
      </w:pPr>
    </w:p>
    <w:tbl>
      <w:tblPr>
        <w:tblStyle w:val="8"/>
        <w:tblW w:w="9030" w:type="dxa"/>
        <w:tblInd w:w="108" w:type="dxa"/>
        <w:tblBorders>
          <w:top w:val="none" w:color="auto" w:sz="0"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9030"/>
      </w:tblGrid>
      <w:tr>
        <w:tblPrEx>
          <w:tblBorders>
            <w:top w:val="none" w:color="auto" w:sz="0"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9030" w:type="dxa"/>
            <w:tcBorders>
              <w:bottom w:val="single" w:color="auto" w:sz="8" w:space="0"/>
            </w:tcBorders>
          </w:tcPr>
          <w:p>
            <w:pPr>
              <w:spacing w:line="400" w:lineRule="exact"/>
              <w:ind w:right="-3"/>
              <w:rPr>
                <w:rFonts w:eastAsia="黑体"/>
                <w:sz w:val="30"/>
              </w:rPr>
            </w:pPr>
            <w:r>
              <w:rPr>
                <w:rFonts w:eastAsia="黑体"/>
                <w:sz w:val="30"/>
              </w:rPr>
              <w:t>主题词：</w:t>
            </w:r>
            <w:r>
              <w:rPr>
                <w:rFonts w:eastAsia="方正小标宋简体"/>
                <w:sz w:val="30"/>
              </w:rPr>
              <w:t>高层次人才 生活待遇  暂行办法  通知</w:t>
            </w:r>
          </w:p>
        </w:tc>
      </w:tr>
      <w:tr>
        <w:tblPrEx>
          <w:tblBorders>
            <w:top w:val="none" w:color="auto" w:sz="0" w:space="0"/>
            <w:left w:val="none" w:color="auto" w:sz="0" w:space="0"/>
            <w:bottom w:val="single" w:color="auto" w:sz="4"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Ex>
        <w:tc>
          <w:tcPr>
            <w:tcW w:w="9030" w:type="dxa"/>
            <w:tcBorders>
              <w:top w:val="single" w:color="auto" w:sz="8" w:space="0"/>
              <w:bottom w:val="single" w:color="auto" w:sz="8" w:space="0"/>
            </w:tcBorders>
          </w:tcPr>
          <w:p>
            <w:pPr>
              <w:spacing w:line="400" w:lineRule="exact"/>
              <w:ind w:right="-3"/>
              <w:rPr>
                <w:rFonts w:eastAsia="楷体_GB2312"/>
                <w:spacing w:val="-20"/>
                <w:w w:val="90"/>
                <w:sz w:val="30"/>
              </w:rPr>
            </w:pPr>
            <w:r>
              <w:rPr>
                <w:rFonts w:eastAsia="楷体_GB2312"/>
                <w:sz w:val="28"/>
                <w:szCs w:val="28"/>
              </w:rPr>
              <w:t>中共太仓市委组织部</w:t>
            </w:r>
            <w:r>
              <w:rPr>
                <w:rFonts w:eastAsia="楷体_GB2312"/>
                <w:sz w:val="30"/>
                <w:szCs w:val="30"/>
              </w:rPr>
              <w:t xml:space="preserve"> </w:t>
            </w:r>
            <w:r>
              <w:rPr>
                <w:rFonts w:eastAsia="楷体_GB2312"/>
                <w:w w:val="90"/>
                <w:sz w:val="30"/>
                <w:szCs w:val="30"/>
              </w:rPr>
              <w:t xml:space="preserve">                          </w:t>
            </w:r>
            <w:r>
              <w:rPr>
                <w:rFonts w:eastAsia="楷体_GB2312"/>
                <w:sz w:val="28"/>
                <w:szCs w:val="28"/>
              </w:rPr>
              <w:t>2015年10月8日印发</w:t>
            </w:r>
          </w:p>
        </w:tc>
      </w:tr>
    </w:tbl>
    <w:p>
      <w:pPr>
        <w:spacing w:line="560" w:lineRule="exact"/>
        <w:rPr>
          <w:szCs w:val="21"/>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太仓市高层次人才享受生活待遇暂行办法</w:t>
      </w:r>
    </w:p>
    <w:p>
      <w:pPr>
        <w:spacing w:line="560" w:lineRule="exact"/>
        <w:jc w:val="center"/>
        <w:rPr>
          <w:rFonts w:eastAsia="黑体"/>
          <w:sz w:val="32"/>
          <w:szCs w:val="32"/>
        </w:rPr>
      </w:pPr>
      <w:r>
        <w:rPr>
          <w:rFonts w:eastAsia="黑体"/>
          <w:sz w:val="32"/>
          <w:szCs w:val="32"/>
        </w:rPr>
        <w:t>第一章  总  则</w:t>
      </w:r>
    </w:p>
    <w:p>
      <w:pPr>
        <w:spacing w:line="560" w:lineRule="exact"/>
        <w:ind w:firstLine="630" w:firstLineChars="196"/>
        <w:rPr>
          <w:rFonts w:eastAsia="仿宋_GB2312"/>
          <w:sz w:val="32"/>
          <w:szCs w:val="32"/>
        </w:rPr>
      </w:pPr>
      <w:r>
        <w:rPr>
          <w:rFonts w:eastAsia="仿宋_GB2312"/>
          <w:b/>
          <w:sz w:val="32"/>
          <w:szCs w:val="32"/>
        </w:rPr>
        <w:t>第一条</w:t>
      </w:r>
      <w:r>
        <w:rPr>
          <w:rFonts w:eastAsia="仿宋_GB2312"/>
          <w:sz w:val="32"/>
          <w:szCs w:val="32"/>
        </w:rPr>
        <w:t xml:space="preserve">  为进一步优化高层次人才创新创业环境，根据《中共太仓市委 太仓市人民政府印发&lt;关于实施</w:t>
      </w:r>
      <w:r>
        <w:rPr>
          <w:rFonts w:hint="eastAsia" w:eastAsia="仿宋_GB2312"/>
          <w:sz w:val="32"/>
          <w:szCs w:val="32"/>
        </w:rPr>
        <w:t>“</w:t>
      </w:r>
      <w:r>
        <w:rPr>
          <w:rFonts w:eastAsia="仿宋_GB2312"/>
          <w:sz w:val="32"/>
          <w:szCs w:val="32"/>
        </w:rPr>
        <w:t>娄东英才</w:t>
      </w:r>
      <w:r>
        <w:rPr>
          <w:rFonts w:hint="eastAsia" w:eastAsia="仿宋_GB2312"/>
          <w:sz w:val="32"/>
          <w:szCs w:val="32"/>
        </w:rPr>
        <w:t>”</w:t>
      </w:r>
      <w:r>
        <w:rPr>
          <w:rFonts w:eastAsia="仿宋_GB2312"/>
          <w:sz w:val="32"/>
          <w:szCs w:val="32"/>
        </w:rPr>
        <w:t>工程服务经济转型升级的若干意见（2015—2020）&gt;的通知》（太委发〔2015〕28号）</w:t>
      </w:r>
      <w:r>
        <w:rPr>
          <w:rFonts w:hint="eastAsia" w:eastAsia="仿宋_GB2312"/>
          <w:sz w:val="32"/>
          <w:szCs w:val="32"/>
        </w:rPr>
        <w:t>等文件</w:t>
      </w:r>
      <w:r>
        <w:rPr>
          <w:rFonts w:eastAsia="仿宋_GB2312"/>
          <w:sz w:val="32"/>
          <w:szCs w:val="32"/>
        </w:rPr>
        <w:t>精神，特制定本办法。</w:t>
      </w:r>
    </w:p>
    <w:p>
      <w:pPr>
        <w:spacing w:line="560" w:lineRule="exact"/>
        <w:ind w:firstLine="643" w:firstLineChars="200"/>
        <w:rPr>
          <w:rFonts w:eastAsia="仿宋_GB2312"/>
          <w:sz w:val="32"/>
          <w:szCs w:val="32"/>
        </w:rPr>
      </w:pPr>
      <w:r>
        <w:rPr>
          <w:rFonts w:eastAsia="仿宋_GB2312"/>
          <w:b/>
          <w:sz w:val="32"/>
          <w:szCs w:val="32"/>
        </w:rPr>
        <w:t>第二条</w:t>
      </w:r>
      <w:r>
        <w:rPr>
          <w:rFonts w:eastAsia="仿宋_GB2312"/>
          <w:sz w:val="32"/>
          <w:szCs w:val="32"/>
        </w:rPr>
        <w:t xml:space="preserve">  本办法的适用对象为：</w:t>
      </w:r>
    </w:p>
    <w:p>
      <w:pPr>
        <w:spacing w:line="560" w:lineRule="exact"/>
        <w:ind w:firstLine="640" w:firstLineChars="200"/>
        <w:rPr>
          <w:rFonts w:eastAsia="仿宋_GB2312"/>
          <w:sz w:val="32"/>
          <w:szCs w:val="32"/>
        </w:rPr>
      </w:pPr>
      <w:r>
        <w:rPr>
          <w:rFonts w:eastAsia="仿宋_GB2312"/>
          <w:sz w:val="32"/>
          <w:szCs w:val="32"/>
        </w:rPr>
        <w:t>（一）中国科学院院士、中国工程院院士；</w:t>
      </w:r>
    </w:p>
    <w:p>
      <w:pPr>
        <w:spacing w:line="560" w:lineRule="exact"/>
        <w:ind w:firstLine="640" w:firstLineChars="200"/>
        <w:rPr>
          <w:rFonts w:eastAsia="仿宋_GB2312"/>
          <w:sz w:val="32"/>
          <w:szCs w:val="32"/>
        </w:rPr>
      </w:pPr>
      <w:r>
        <w:rPr>
          <w:rFonts w:eastAsia="仿宋_GB2312"/>
          <w:sz w:val="32"/>
          <w:szCs w:val="32"/>
        </w:rPr>
        <w:t>（二）国家</w:t>
      </w:r>
      <w:r>
        <w:rPr>
          <w:rFonts w:hint="eastAsia" w:eastAsia="仿宋_GB2312"/>
          <w:sz w:val="32"/>
          <w:szCs w:val="32"/>
        </w:rPr>
        <w:t>“</w:t>
      </w:r>
      <w:r>
        <w:rPr>
          <w:rFonts w:eastAsia="仿宋_GB2312"/>
          <w:sz w:val="32"/>
          <w:szCs w:val="32"/>
        </w:rPr>
        <w:t>千人计划</w:t>
      </w:r>
      <w:r>
        <w:rPr>
          <w:rFonts w:hint="eastAsia" w:eastAsia="仿宋_GB2312"/>
          <w:sz w:val="32"/>
          <w:szCs w:val="32"/>
        </w:rPr>
        <w:t>”</w:t>
      </w:r>
      <w:r>
        <w:rPr>
          <w:rFonts w:eastAsia="仿宋_GB2312"/>
          <w:sz w:val="32"/>
          <w:szCs w:val="32"/>
        </w:rPr>
        <w:t>、省</w:t>
      </w:r>
      <w:r>
        <w:rPr>
          <w:rFonts w:hint="eastAsia" w:eastAsia="仿宋_GB2312"/>
          <w:sz w:val="32"/>
          <w:szCs w:val="32"/>
        </w:rPr>
        <w:t>“</w:t>
      </w:r>
      <w:r>
        <w:rPr>
          <w:rFonts w:eastAsia="仿宋_GB2312"/>
          <w:sz w:val="32"/>
          <w:szCs w:val="32"/>
        </w:rPr>
        <w:t>双创人才计划</w:t>
      </w:r>
      <w:r>
        <w:rPr>
          <w:rFonts w:hint="eastAsia" w:eastAsia="仿宋_GB2312"/>
          <w:sz w:val="32"/>
          <w:szCs w:val="32"/>
        </w:rPr>
        <w:t>”</w:t>
      </w:r>
      <w:r>
        <w:rPr>
          <w:rFonts w:eastAsia="仿宋_GB2312"/>
          <w:sz w:val="32"/>
          <w:szCs w:val="32"/>
        </w:rPr>
        <w:t>、苏州市</w:t>
      </w:r>
      <w:r>
        <w:rPr>
          <w:rFonts w:hint="eastAsia" w:eastAsia="仿宋_GB2312"/>
          <w:sz w:val="32"/>
          <w:szCs w:val="32"/>
        </w:rPr>
        <w:t>“</w:t>
      </w:r>
      <w:r>
        <w:rPr>
          <w:rFonts w:eastAsia="仿宋_GB2312"/>
          <w:sz w:val="32"/>
          <w:szCs w:val="32"/>
        </w:rPr>
        <w:t>姑苏人才计划</w:t>
      </w:r>
      <w:r>
        <w:rPr>
          <w:rFonts w:hint="eastAsia" w:eastAsia="仿宋_GB2312"/>
          <w:sz w:val="32"/>
          <w:szCs w:val="32"/>
        </w:rPr>
        <w:t>”</w:t>
      </w:r>
      <w:r>
        <w:rPr>
          <w:rFonts w:eastAsia="仿宋_GB2312"/>
          <w:sz w:val="32"/>
          <w:szCs w:val="32"/>
        </w:rPr>
        <w:t>人才；</w:t>
      </w:r>
    </w:p>
    <w:p>
      <w:pPr>
        <w:spacing w:line="560" w:lineRule="exact"/>
        <w:ind w:firstLine="640" w:firstLineChars="200"/>
        <w:rPr>
          <w:rFonts w:eastAsia="仿宋_GB2312"/>
          <w:sz w:val="32"/>
          <w:szCs w:val="32"/>
        </w:rPr>
      </w:pPr>
      <w:r>
        <w:rPr>
          <w:rFonts w:eastAsia="仿宋_GB2312"/>
          <w:sz w:val="32"/>
          <w:szCs w:val="32"/>
        </w:rPr>
        <w:t>（三）太仓科技创新创业市长奖获得者；</w:t>
      </w:r>
    </w:p>
    <w:p>
      <w:pPr>
        <w:spacing w:line="560" w:lineRule="exact"/>
        <w:ind w:firstLine="640" w:firstLineChars="200"/>
        <w:rPr>
          <w:rFonts w:eastAsia="仿宋_GB2312"/>
          <w:sz w:val="32"/>
          <w:szCs w:val="32"/>
        </w:rPr>
      </w:pPr>
      <w:r>
        <w:rPr>
          <w:rFonts w:eastAsia="仿宋_GB2312"/>
          <w:sz w:val="32"/>
          <w:szCs w:val="32"/>
        </w:rPr>
        <w:t>（四）</w:t>
      </w:r>
      <w:r>
        <w:rPr>
          <w:rFonts w:hint="eastAsia" w:eastAsia="仿宋_GB2312"/>
          <w:sz w:val="32"/>
          <w:szCs w:val="32"/>
        </w:rPr>
        <w:t>“</w:t>
      </w:r>
      <w:r>
        <w:rPr>
          <w:rFonts w:eastAsia="仿宋_GB2312"/>
          <w:sz w:val="32"/>
          <w:szCs w:val="32"/>
        </w:rPr>
        <w:t>娄东英才</w:t>
      </w:r>
      <w:r>
        <w:rPr>
          <w:rFonts w:hint="eastAsia" w:eastAsia="仿宋_GB2312"/>
          <w:sz w:val="32"/>
          <w:szCs w:val="32"/>
        </w:rPr>
        <w:t>”</w:t>
      </w:r>
      <w:r>
        <w:rPr>
          <w:rFonts w:eastAsia="仿宋_GB2312"/>
          <w:sz w:val="32"/>
          <w:szCs w:val="32"/>
        </w:rPr>
        <w:t>工程资助的科技领军人才，文化名家、文化产业领军人才、文艺创作领军人才和重点人才，</w:t>
      </w:r>
      <w:r>
        <w:rPr>
          <w:rFonts w:eastAsia="仿宋_GB2312"/>
          <w:spacing w:val="-4"/>
          <w:sz w:val="32"/>
          <w:szCs w:val="32"/>
        </w:rPr>
        <w:t>高校专业建设领军人才、中小学高层次教育人才</w:t>
      </w:r>
      <w:r>
        <w:rPr>
          <w:rFonts w:eastAsia="仿宋_GB2312"/>
          <w:sz w:val="32"/>
          <w:szCs w:val="32"/>
        </w:rPr>
        <w:t>，社会工作领军人才，卫生紧缺人才；</w:t>
      </w:r>
    </w:p>
    <w:p>
      <w:pPr>
        <w:spacing w:line="560" w:lineRule="exact"/>
        <w:ind w:firstLine="640" w:firstLineChars="200"/>
        <w:rPr>
          <w:rFonts w:eastAsia="仿宋_GB2312"/>
          <w:sz w:val="32"/>
          <w:szCs w:val="32"/>
        </w:rPr>
      </w:pPr>
      <w:r>
        <w:rPr>
          <w:rFonts w:eastAsia="仿宋_GB2312"/>
          <w:sz w:val="32"/>
          <w:szCs w:val="32"/>
        </w:rPr>
        <w:t>（五）符合《太仓市紧缺专业人才需求目录》资助标准的各领域新引进人才；</w:t>
      </w:r>
    </w:p>
    <w:p>
      <w:pPr>
        <w:spacing w:line="560" w:lineRule="exact"/>
        <w:ind w:firstLine="640" w:firstLineChars="200"/>
        <w:rPr>
          <w:rFonts w:eastAsia="仿宋_GB2312"/>
          <w:sz w:val="32"/>
          <w:szCs w:val="32"/>
        </w:rPr>
      </w:pPr>
      <w:r>
        <w:rPr>
          <w:rFonts w:eastAsia="仿宋_GB2312"/>
          <w:sz w:val="32"/>
          <w:szCs w:val="32"/>
        </w:rPr>
        <w:t>（六）本《办法》特指的其他享受对象。</w:t>
      </w:r>
    </w:p>
    <w:p>
      <w:pPr>
        <w:spacing w:line="560" w:lineRule="exact"/>
        <w:jc w:val="center"/>
        <w:rPr>
          <w:rFonts w:eastAsia="黑体"/>
          <w:sz w:val="32"/>
          <w:szCs w:val="32"/>
        </w:rPr>
      </w:pPr>
      <w:r>
        <w:rPr>
          <w:rFonts w:eastAsia="黑体"/>
          <w:sz w:val="32"/>
          <w:szCs w:val="32"/>
        </w:rPr>
        <w:t>第二章  生活待遇</w:t>
      </w:r>
    </w:p>
    <w:p>
      <w:pPr>
        <w:spacing w:line="560" w:lineRule="exact"/>
        <w:ind w:firstLine="643" w:firstLineChars="200"/>
        <w:rPr>
          <w:rFonts w:eastAsia="仿宋_GB2312"/>
          <w:sz w:val="32"/>
          <w:szCs w:val="32"/>
        </w:rPr>
      </w:pPr>
      <w:r>
        <w:rPr>
          <w:rFonts w:eastAsia="仿宋_GB2312"/>
          <w:b/>
          <w:sz w:val="32"/>
          <w:szCs w:val="32"/>
        </w:rPr>
        <w:t>第三条</w:t>
      </w:r>
      <w:r>
        <w:rPr>
          <w:rFonts w:eastAsia="仿宋_GB2312"/>
          <w:sz w:val="32"/>
          <w:szCs w:val="32"/>
        </w:rPr>
        <w:t xml:space="preserve">  居留和出入境</w:t>
      </w:r>
    </w:p>
    <w:p>
      <w:pPr>
        <w:spacing w:line="560" w:lineRule="exact"/>
        <w:ind w:firstLine="640" w:firstLineChars="200"/>
        <w:rPr>
          <w:rFonts w:eastAsia="仿宋_GB2312"/>
          <w:sz w:val="32"/>
          <w:szCs w:val="32"/>
        </w:rPr>
      </w:pPr>
      <w:r>
        <w:rPr>
          <w:rFonts w:eastAsia="仿宋_GB2312"/>
          <w:sz w:val="32"/>
          <w:szCs w:val="32"/>
        </w:rPr>
        <w:t>（一）通过互联网预约签证业务，预约后可到市公安出入境</w:t>
      </w:r>
      <w:r>
        <w:rPr>
          <w:rFonts w:hint="eastAsia" w:eastAsia="仿宋_GB2312"/>
          <w:sz w:val="32"/>
          <w:szCs w:val="32"/>
        </w:rPr>
        <w:t>“</w:t>
      </w:r>
      <w:r>
        <w:rPr>
          <w:rFonts w:eastAsia="仿宋_GB2312"/>
          <w:sz w:val="32"/>
          <w:szCs w:val="32"/>
        </w:rPr>
        <w:t>一号窗口</w:t>
      </w:r>
      <w:r>
        <w:rPr>
          <w:rFonts w:hint="eastAsia" w:eastAsia="仿宋_GB2312"/>
          <w:sz w:val="32"/>
          <w:szCs w:val="32"/>
        </w:rPr>
        <w:t>”</w:t>
      </w:r>
      <w:r>
        <w:rPr>
          <w:rFonts w:eastAsia="仿宋_GB2312"/>
          <w:sz w:val="32"/>
          <w:szCs w:val="32"/>
        </w:rPr>
        <w:t>优先办理；</w:t>
      </w:r>
    </w:p>
    <w:p>
      <w:pPr>
        <w:spacing w:line="560" w:lineRule="exact"/>
        <w:ind w:firstLine="640" w:firstLineChars="200"/>
        <w:rPr>
          <w:rFonts w:eastAsia="仿宋_GB2312"/>
          <w:sz w:val="32"/>
          <w:szCs w:val="32"/>
        </w:rPr>
      </w:pPr>
      <w:r>
        <w:rPr>
          <w:rFonts w:eastAsia="仿宋_GB2312"/>
          <w:sz w:val="32"/>
          <w:szCs w:val="32"/>
        </w:rPr>
        <w:t>（二）持外国长期居留证件（绿卡）回国的人才，无论其国内户口是否注销或是否为本地户口，均不影响其办理出入境证件；</w:t>
      </w:r>
    </w:p>
    <w:p>
      <w:pPr>
        <w:spacing w:line="560" w:lineRule="exact"/>
        <w:ind w:firstLine="640" w:firstLineChars="200"/>
        <w:rPr>
          <w:rFonts w:eastAsia="仿宋_GB2312"/>
          <w:sz w:val="32"/>
          <w:szCs w:val="32"/>
        </w:rPr>
      </w:pPr>
      <w:r>
        <w:rPr>
          <w:rFonts w:eastAsia="仿宋_GB2312"/>
          <w:sz w:val="32"/>
          <w:szCs w:val="32"/>
        </w:rPr>
        <w:t>（三）上述人员及其随迁外籍配偶和未成年子女，办理签证或居留许可业务时，可享受签证到期提醒服务；</w:t>
      </w:r>
    </w:p>
    <w:p>
      <w:pPr>
        <w:spacing w:line="560" w:lineRule="exact"/>
        <w:ind w:firstLine="640" w:firstLineChars="200"/>
        <w:rPr>
          <w:rFonts w:eastAsia="仿宋_GB2312"/>
          <w:sz w:val="32"/>
          <w:szCs w:val="32"/>
        </w:rPr>
      </w:pPr>
      <w:r>
        <w:rPr>
          <w:rFonts w:eastAsia="仿宋_GB2312"/>
          <w:sz w:val="32"/>
          <w:szCs w:val="32"/>
        </w:rPr>
        <w:t>（四）上述人员中外籍华人、华侨在太仓寄养未满18周岁的外籍子女，可办理不超过3年的居留证件，申请材料中需提供的委托书和受托书无需公证；</w:t>
      </w:r>
    </w:p>
    <w:p>
      <w:pPr>
        <w:spacing w:line="560" w:lineRule="exact"/>
        <w:ind w:firstLine="640" w:firstLineChars="200"/>
        <w:rPr>
          <w:rFonts w:eastAsia="仿宋_GB2312"/>
          <w:sz w:val="32"/>
          <w:szCs w:val="32"/>
        </w:rPr>
      </w:pPr>
      <w:r>
        <w:rPr>
          <w:rFonts w:eastAsia="仿宋_GB2312"/>
          <w:sz w:val="32"/>
          <w:szCs w:val="32"/>
        </w:rPr>
        <w:t>（五）上述人员中已满60周岁的外籍华人，在太仓购置房产，可办理不超过3年的居留证件。</w:t>
      </w:r>
    </w:p>
    <w:p>
      <w:pPr>
        <w:spacing w:line="560" w:lineRule="exact"/>
        <w:ind w:firstLine="643" w:firstLineChars="200"/>
        <w:rPr>
          <w:rFonts w:eastAsia="仿宋_GB2312"/>
          <w:sz w:val="32"/>
          <w:szCs w:val="32"/>
        </w:rPr>
      </w:pPr>
      <w:r>
        <w:rPr>
          <w:rFonts w:eastAsia="仿宋_GB2312"/>
          <w:b/>
          <w:sz w:val="32"/>
          <w:szCs w:val="32"/>
        </w:rPr>
        <w:t>第四条</w:t>
      </w:r>
      <w:r>
        <w:rPr>
          <w:rFonts w:eastAsia="仿宋_GB2312"/>
          <w:sz w:val="32"/>
          <w:szCs w:val="32"/>
        </w:rPr>
        <w:t xml:space="preserve">  落户</w:t>
      </w:r>
    </w:p>
    <w:p>
      <w:pPr>
        <w:spacing w:line="560" w:lineRule="exact"/>
        <w:ind w:firstLine="640" w:firstLineChars="200"/>
        <w:rPr>
          <w:rFonts w:eastAsia="仿宋_GB2312"/>
          <w:sz w:val="32"/>
          <w:szCs w:val="32"/>
        </w:rPr>
      </w:pPr>
      <w:r>
        <w:rPr>
          <w:rFonts w:eastAsia="仿宋_GB2312"/>
          <w:sz w:val="32"/>
          <w:szCs w:val="32"/>
        </w:rPr>
        <w:t>（一）具有中国国籍的引进人才，可不受出国前户籍所在地的限制，落户太仓，由公安机关简化程序，优先办理。</w:t>
      </w:r>
    </w:p>
    <w:p>
      <w:pPr>
        <w:spacing w:line="560" w:lineRule="exact"/>
        <w:ind w:firstLine="640" w:firstLineChars="200"/>
        <w:rPr>
          <w:rFonts w:eastAsia="仿宋_GB2312"/>
          <w:sz w:val="32"/>
          <w:szCs w:val="32"/>
        </w:rPr>
      </w:pPr>
      <w:r>
        <w:rPr>
          <w:rFonts w:eastAsia="仿宋_GB2312"/>
          <w:sz w:val="32"/>
          <w:szCs w:val="32"/>
        </w:rPr>
        <w:t>（二）愿意放弃外国国籍而申请加入或恢复中国国籍的，优先为其本人及随归、随迁的配偶和子女办理加入中国国籍并落户太仓手续，取消原</w:t>
      </w:r>
      <w:r>
        <w:rPr>
          <w:rFonts w:hint="eastAsia" w:eastAsia="仿宋_GB2312"/>
          <w:sz w:val="32"/>
          <w:szCs w:val="32"/>
        </w:rPr>
        <w:t>“</w:t>
      </w:r>
      <w:r>
        <w:rPr>
          <w:rFonts w:eastAsia="仿宋_GB2312"/>
          <w:sz w:val="32"/>
          <w:szCs w:val="32"/>
        </w:rPr>
        <w:t>在太仓工作满一年，有固定住所</w:t>
      </w:r>
      <w:r>
        <w:rPr>
          <w:rFonts w:hint="eastAsia" w:eastAsia="仿宋_GB2312"/>
          <w:sz w:val="32"/>
          <w:szCs w:val="32"/>
        </w:rPr>
        <w:t>”</w:t>
      </w:r>
      <w:r>
        <w:rPr>
          <w:rFonts w:eastAsia="仿宋_GB2312"/>
          <w:sz w:val="32"/>
          <w:szCs w:val="32"/>
        </w:rPr>
        <w:t>等前置条件。</w:t>
      </w:r>
    </w:p>
    <w:p>
      <w:pPr>
        <w:spacing w:line="560" w:lineRule="exact"/>
        <w:ind w:firstLine="643" w:firstLineChars="200"/>
        <w:rPr>
          <w:rFonts w:eastAsia="仿宋_GB2312"/>
          <w:sz w:val="32"/>
          <w:szCs w:val="32"/>
        </w:rPr>
      </w:pPr>
      <w:r>
        <w:rPr>
          <w:rFonts w:eastAsia="仿宋_GB2312"/>
          <w:b/>
          <w:sz w:val="32"/>
          <w:szCs w:val="32"/>
        </w:rPr>
        <w:t xml:space="preserve">第五条  </w:t>
      </w:r>
      <w:r>
        <w:rPr>
          <w:rFonts w:eastAsia="仿宋_GB2312"/>
          <w:sz w:val="32"/>
          <w:szCs w:val="32"/>
        </w:rPr>
        <w:t>医疗</w:t>
      </w:r>
    </w:p>
    <w:p>
      <w:pPr>
        <w:spacing w:line="560" w:lineRule="exact"/>
        <w:ind w:firstLine="640" w:firstLineChars="200"/>
        <w:rPr>
          <w:rFonts w:eastAsia="仿宋_GB2312"/>
          <w:sz w:val="32"/>
          <w:szCs w:val="32"/>
        </w:rPr>
      </w:pPr>
      <w:r>
        <w:rPr>
          <w:rFonts w:eastAsia="仿宋_GB2312"/>
          <w:sz w:val="32"/>
          <w:szCs w:val="32"/>
        </w:rPr>
        <w:t>（一）享受医疗照顾待遇。市第一人民医院、市中医院为引进人才的定点医疗保健机构，为引进人才就医提供绿色通道服务。</w:t>
      </w:r>
    </w:p>
    <w:p>
      <w:pPr>
        <w:spacing w:line="560" w:lineRule="exact"/>
        <w:ind w:firstLine="640" w:firstLineChars="200"/>
        <w:rPr>
          <w:rFonts w:eastAsia="仿宋_GB2312"/>
          <w:sz w:val="32"/>
          <w:szCs w:val="32"/>
        </w:rPr>
      </w:pPr>
      <w:r>
        <w:rPr>
          <w:rFonts w:eastAsia="仿宋_GB2312"/>
          <w:sz w:val="32"/>
          <w:szCs w:val="32"/>
        </w:rPr>
        <w:t>（二）配备专家顾问。卫生系统为引进人才配备健康咨询专家顾问，制定个性化保健方案，提供健康咨询、健康评估、健康干预等服务。</w:t>
      </w:r>
    </w:p>
    <w:p>
      <w:pPr>
        <w:spacing w:line="560" w:lineRule="exact"/>
        <w:ind w:firstLine="630" w:firstLineChars="196"/>
        <w:rPr>
          <w:rFonts w:eastAsia="仿宋_GB2312"/>
          <w:sz w:val="32"/>
          <w:szCs w:val="32"/>
        </w:rPr>
      </w:pPr>
      <w:r>
        <w:rPr>
          <w:rFonts w:eastAsia="仿宋_GB2312"/>
          <w:b/>
          <w:sz w:val="32"/>
          <w:szCs w:val="32"/>
        </w:rPr>
        <w:t>第六条</w:t>
      </w:r>
      <w:r>
        <w:rPr>
          <w:rFonts w:eastAsia="仿宋_GB2312"/>
          <w:sz w:val="32"/>
          <w:szCs w:val="32"/>
        </w:rPr>
        <w:t xml:space="preserve">  社保</w:t>
      </w:r>
    </w:p>
    <w:p>
      <w:pPr>
        <w:spacing w:line="560" w:lineRule="exact"/>
        <w:ind w:firstLine="640" w:firstLineChars="200"/>
        <w:rPr>
          <w:rFonts w:eastAsia="仿宋_GB2312"/>
          <w:sz w:val="32"/>
          <w:szCs w:val="32"/>
        </w:rPr>
      </w:pPr>
      <w:r>
        <w:rPr>
          <w:rFonts w:eastAsia="仿宋_GB2312"/>
          <w:sz w:val="32"/>
          <w:szCs w:val="32"/>
        </w:rPr>
        <w:t>（一）引进的外籍人才及其配偶、子女，凡与本市企业建立劳动关系或在本市创业的，在国家相关规定出台前，可按照本市《关于外国人、华侨和台港澳人员参加社会保险有关问题的通知》规定参加本市养老保险、医疗保险和工伤保险，缴纳相应的社会保险费，并享受相应待遇。</w:t>
      </w:r>
    </w:p>
    <w:p>
      <w:pPr>
        <w:spacing w:line="560" w:lineRule="exact"/>
        <w:ind w:firstLine="640" w:firstLineChars="200"/>
        <w:rPr>
          <w:rFonts w:eastAsia="仿宋_GB2312"/>
          <w:sz w:val="32"/>
          <w:szCs w:val="32"/>
        </w:rPr>
      </w:pPr>
      <w:r>
        <w:rPr>
          <w:rFonts w:eastAsia="仿宋_GB2312"/>
          <w:sz w:val="32"/>
          <w:szCs w:val="32"/>
        </w:rPr>
        <w:t>（二）按照规定建立企业年金的用人单位，可对引进人才作重点倾斜，提高其企业年金单位缴费额度；尚未建立企业年金的用人单位，可对本单位的引进人才单独拟定、报备、实施年金方案。同时，用人单位也可以为其办理商业补充保险。</w:t>
      </w:r>
    </w:p>
    <w:p>
      <w:pPr>
        <w:spacing w:line="560" w:lineRule="exact"/>
        <w:ind w:firstLine="640" w:firstLineChars="200"/>
        <w:rPr>
          <w:rFonts w:eastAsia="仿宋_GB2312"/>
          <w:sz w:val="32"/>
          <w:szCs w:val="32"/>
        </w:rPr>
      </w:pPr>
      <w:r>
        <w:rPr>
          <w:rFonts w:eastAsia="仿宋_GB2312"/>
          <w:sz w:val="32"/>
          <w:szCs w:val="32"/>
        </w:rPr>
        <w:t>（三）引进人才达到退休年龄时，参加企业职工养老保险累计缴费不足15年的，可由用人单位一次性补缴不足年限。</w:t>
      </w:r>
    </w:p>
    <w:p>
      <w:pPr>
        <w:spacing w:line="560" w:lineRule="exact"/>
        <w:ind w:firstLine="643" w:firstLineChars="200"/>
        <w:rPr>
          <w:rFonts w:eastAsia="仿宋_GB2312"/>
          <w:sz w:val="32"/>
          <w:szCs w:val="32"/>
        </w:rPr>
      </w:pPr>
      <w:r>
        <w:rPr>
          <w:rFonts w:eastAsia="仿宋_GB2312"/>
          <w:b/>
          <w:sz w:val="32"/>
          <w:szCs w:val="32"/>
        </w:rPr>
        <w:t>第七条</w:t>
      </w:r>
      <w:r>
        <w:rPr>
          <w:rFonts w:eastAsia="仿宋_GB2312"/>
          <w:sz w:val="32"/>
          <w:szCs w:val="32"/>
        </w:rPr>
        <w:t xml:space="preserve">  住房</w:t>
      </w:r>
    </w:p>
    <w:p>
      <w:pPr>
        <w:spacing w:line="560" w:lineRule="exact"/>
        <w:ind w:firstLine="640" w:firstLineChars="200"/>
        <w:rPr>
          <w:rFonts w:eastAsia="仿宋_GB2312"/>
          <w:sz w:val="32"/>
          <w:szCs w:val="32"/>
        </w:rPr>
      </w:pPr>
      <w:r>
        <w:rPr>
          <w:rFonts w:eastAsia="仿宋_GB2312"/>
          <w:sz w:val="32"/>
          <w:szCs w:val="32"/>
        </w:rPr>
        <w:t>新引进人才可享受太仓市的相关优惠政策，优先入住本市人才公寓，外籍引进人才可参照本市居民购房政策。</w:t>
      </w:r>
    </w:p>
    <w:p>
      <w:pPr>
        <w:spacing w:line="560" w:lineRule="exact"/>
        <w:ind w:firstLine="640" w:firstLineChars="200"/>
        <w:rPr>
          <w:rFonts w:eastAsia="仿宋_GB2312"/>
          <w:sz w:val="32"/>
          <w:szCs w:val="32"/>
        </w:rPr>
      </w:pPr>
      <w:r>
        <w:rPr>
          <w:rFonts w:eastAsia="仿宋_GB2312"/>
          <w:sz w:val="32"/>
          <w:szCs w:val="32"/>
        </w:rPr>
        <w:t>（一）安家补贴</w:t>
      </w:r>
    </w:p>
    <w:p>
      <w:pPr>
        <w:spacing w:line="560" w:lineRule="exact"/>
        <w:ind w:firstLine="640" w:firstLineChars="200"/>
        <w:rPr>
          <w:rFonts w:eastAsia="仿宋_GB2312"/>
          <w:sz w:val="32"/>
          <w:szCs w:val="32"/>
        </w:rPr>
      </w:pPr>
      <w:r>
        <w:rPr>
          <w:rFonts w:eastAsia="仿宋_GB2312"/>
          <w:sz w:val="32"/>
          <w:szCs w:val="32"/>
        </w:rPr>
        <w:t>中国科学院院士、中国工程院院士，国家</w:t>
      </w:r>
      <w:r>
        <w:rPr>
          <w:rFonts w:hint="eastAsia" w:eastAsia="仿宋_GB2312"/>
          <w:sz w:val="32"/>
          <w:szCs w:val="32"/>
        </w:rPr>
        <w:t>“</w:t>
      </w:r>
      <w:r>
        <w:rPr>
          <w:rFonts w:eastAsia="仿宋_GB2312"/>
          <w:sz w:val="32"/>
          <w:szCs w:val="32"/>
        </w:rPr>
        <w:t>千人计划</w:t>
      </w:r>
      <w:r>
        <w:rPr>
          <w:rFonts w:hint="eastAsia" w:eastAsia="仿宋_GB2312"/>
          <w:sz w:val="32"/>
          <w:szCs w:val="32"/>
        </w:rPr>
        <w:t>”</w:t>
      </w:r>
      <w:r>
        <w:rPr>
          <w:rFonts w:eastAsia="仿宋_GB2312"/>
          <w:sz w:val="32"/>
          <w:szCs w:val="32"/>
        </w:rPr>
        <w:t>、省</w:t>
      </w:r>
      <w:r>
        <w:rPr>
          <w:rFonts w:hint="eastAsia" w:eastAsia="仿宋_GB2312"/>
          <w:sz w:val="32"/>
          <w:szCs w:val="32"/>
        </w:rPr>
        <w:t>“</w:t>
      </w:r>
      <w:r>
        <w:rPr>
          <w:rFonts w:eastAsia="仿宋_GB2312"/>
          <w:sz w:val="32"/>
          <w:szCs w:val="32"/>
        </w:rPr>
        <w:t>双创人才计划</w:t>
      </w:r>
      <w:r>
        <w:rPr>
          <w:rFonts w:hint="eastAsia" w:eastAsia="仿宋_GB2312"/>
          <w:sz w:val="32"/>
          <w:szCs w:val="32"/>
        </w:rPr>
        <w:t>”</w:t>
      </w:r>
      <w:r>
        <w:rPr>
          <w:rFonts w:eastAsia="仿宋_GB2312"/>
          <w:sz w:val="32"/>
          <w:szCs w:val="32"/>
        </w:rPr>
        <w:t>、苏州市</w:t>
      </w:r>
      <w:r>
        <w:rPr>
          <w:rFonts w:hint="eastAsia" w:eastAsia="仿宋_GB2312"/>
          <w:sz w:val="32"/>
          <w:szCs w:val="32"/>
        </w:rPr>
        <w:t>“</w:t>
      </w:r>
      <w:r>
        <w:rPr>
          <w:rFonts w:eastAsia="仿宋_GB2312"/>
          <w:sz w:val="32"/>
          <w:szCs w:val="32"/>
        </w:rPr>
        <w:t>姑苏人才计划</w:t>
      </w:r>
      <w:r>
        <w:rPr>
          <w:rFonts w:hint="eastAsia" w:eastAsia="仿宋_GB2312"/>
          <w:sz w:val="32"/>
          <w:szCs w:val="32"/>
        </w:rPr>
        <w:t>”</w:t>
      </w:r>
      <w:r>
        <w:rPr>
          <w:rFonts w:eastAsia="仿宋_GB2312"/>
          <w:sz w:val="32"/>
          <w:szCs w:val="32"/>
        </w:rPr>
        <w:t>人才，</w:t>
      </w:r>
      <w:r>
        <w:rPr>
          <w:rFonts w:hint="eastAsia" w:eastAsia="仿宋_GB2312"/>
          <w:sz w:val="32"/>
          <w:szCs w:val="32"/>
        </w:rPr>
        <w:t>“</w:t>
      </w:r>
      <w:r>
        <w:rPr>
          <w:rFonts w:eastAsia="仿宋_GB2312"/>
          <w:sz w:val="32"/>
          <w:szCs w:val="32"/>
        </w:rPr>
        <w:t>娄东英才</w:t>
      </w:r>
      <w:r>
        <w:rPr>
          <w:rFonts w:hint="eastAsia" w:eastAsia="仿宋_GB2312"/>
          <w:sz w:val="32"/>
          <w:szCs w:val="32"/>
        </w:rPr>
        <w:t>”</w:t>
      </w:r>
      <w:r>
        <w:rPr>
          <w:rFonts w:eastAsia="仿宋_GB2312"/>
          <w:sz w:val="32"/>
          <w:szCs w:val="32"/>
        </w:rPr>
        <w:t>工程资助的科技领军人才，文化名家、文化产业领军人才、文艺创作领军人才和重点人才，</w:t>
      </w:r>
      <w:r>
        <w:rPr>
          <w:rFonts w:eastAsia="仿宋_GB2312"/>
          <w:spacing w:val="-4"/>
          <w:sz w:val="32"/>
          <w:szCs w:val="32"/>
        </w:rPr>
        <w:t>高校专业建设领军人才、中小学高层次教育人才</w:t>
      </w:r>
      <w:r>
        <w:rPr>
          <w:rFonts w:eastAsia="仿宋_GB2312"/>
          <w:sz w:val="32"/>
          <w:szCs w:val="32"/>
        </w:rPr>
        <w:t>，社会工作</w:t>
      </w:r>
      <w:r>
        <w:rPr>
          <w:rFonts w:eastAsia="仿宋_GB2312"/>
          <w:spacing w:val="-4"/>
          <w:sz w:val="32"/>
          <w:szCs w:val="32"/>
        </w:rPr>
        <w:t>领军人才</w:t>
      </w:r>
      <w:r>
        <w:rPr>
          <w:rFonts w:eastAsia="仿宋_GB2312"/>
          <w:sz w:val="32"/>
          <w:szCs w:val="32"/>
        </w:rPr>
        <w:t>，卫生紧缺人才，符合《太仓市紧缺专业人才需求目录》资助标准的各领域新引进非太仓户籍人才，落户太仓，创办企业或与所在企业签订劳动合同，</w:t>
      </w:r>
      <w:r>
        <w:rPr>
          <w:rFonts w:eastAsia="仿宋_GB2312"/>
          <w:spacing w:val="-4"/>
          <w:sz w:val="32"/>
          <w:szCs w:val="32"/>
        </w:rPr>
        <w:t>在太仓首次购房，可</w:t>
      </w:r>
      <w:r>
        <w:rPr>
          <w:rFonts w:eastAsia="仿宋_GB2312"/>
          <w:sz w:val="32"/>
          <w:szCs w:val="32"/>
        </w:rPr>
        <w:t>享受购房安家补贴。具体标准：</w:t>
      </w:r>
    </w:p>
    <w:p>
      <w:pPr>
        <w:spacing w:line="560" w:lineRule="exact"/>
        <w:ind w:firstLine="640" w:firstLineChars="200"/>
        <w:rPr>
          <w:rFonts w:eastAsia="仿宋_GB2312"/>
          <w:sz w:val="32"/>
          <w:szCs w:val="32"/>
        </w:rPr>
      </w:pPr>
      <w:r>
        <w:rPr>
          <w:rFonts w:eastAsia="仿宋_GB2312"/>
          <w:sz w:val="32"/>
          <w:szCs w:val="32"/>
        </w:rPr>
        <w:t>1、中国科学院院士、中国工程院院士，给予250万元安家补贴；</w:t>
      </w:r>
    </w:p>
    <w:p>
      <w:pPr>
        <w:spacing w:line="560" w:lineRule="exact"/>
        <w:ind w:firstLine="640" w:firstLineChars="200"/>
        <w:rPr>
          <w:rFonts w:eastAsia="仿宋_GB2312"/>
          <w:sz w:val="32"/>
          <w:szCs w:val="32"/>
        </w:rPr>
      </w:pPr>
      <w:r>
        <w:rPr>
          <w:rFonts w:eastAsia="仿宋_GB2312"/>
          <w:sz w:val="32"/>
          <w:szCs w:val="32"/>
        </w:rPr>
        <w:t>2、国家</w:t>
      </w:r>
      <w:r>
        <w:rPr>
          <w:rFonts w:hint="eastAsia" w:eastAsia="仿宋_GB2312"/>
          <w:sz w:val="32"/>
          <w:szCs w:val="32"/>
        </w:rPr>
        <w:t>“</w:t>
      </w:r>
      <w:r>
        <w:rPr>
          <w:rFonts w:eastAsia="仿宋_GB2312"/>
          <w:sz w:val="32"/>
          <w:szCs w:val="32"/>
        </w:rPr>
        <w:t>千人计划</w:t>
      </w:r>
      <w:r>
        <w:rPr>
          <w:rFonts w:hint="eastAsia" w:eastAsia="仿宋_GB2312"/>
          <w:sz w:val="32"/>
          <w:szCs w:val="32"/>
        </w:rPr>
        <w:t>”</w:t>
      </w:r>
      <w:r>
        <w:rPr>
          <w:rFonts w:eastAsia="仿宋_GB2312"/>
          <w:sz w:val="32"/>
          <w:szCs w:val="32"/>
        </w:rPr>
        <w:t xml:space="preserve">人才，给予100万元安家补贴； </w:t>
      </w:r>
    </w:p>
    <w:p>
      <w:pPr>
        <w:spacing w:line="560" w:lineRule="exact"/>
        <w:ind w:firstLine="640" w:firstLineChars="200"/>
        <w:rPr>
          <w:rFonts w:eastAsia="仿宋_GB2312"/>
          <w:sz w:val="32"/>
          <w:szCs w:val="32"/>
        </w:rPr>
      </w:pPr>
      <w:r>
        <w:rPr>
          <w:rFonts w:eastAsia="仿宋_GB2312"/>
          <w:sz w:val="32"/>
          <w:szCs w:val="32"/>
        </w:rPr>
        <w:t>3、省</w:t>
      </w:r>
      <w:r>
        <w:rPr>
          <w:rFonts w:hint="eastAsia" w:eastAsia="仿宋_GB2312"/>
          <w:sz w:val="32"/>
          <w:szCs w:val="32"/>
        </w:rPr>
        <w:t>“</w:t>
      </w:r>
      <w:r>
        <w:rPr>
          <w:rFonts w:eastAsia="仿宋_GB2312"/>
          <w:sz w:val="32"/>
          <w:szCs w:val="32"/>
        </w:rPr>
        <w:t>双创人才计划</w:t>
      </w:r>
      <w:r>
        <w:rPr>
          <w:rFonts w:hint="eastAsia" w:eastAsia="仿宋_GB2312"/>
          <w:sz w:val="32"/>
          <w:szCs w:val="32"/>
        </w:rPr>
        <w:t>”</w:t>
      </w:r>
      <w:r>
        <w:rPr>
          <w:rFonts w:eastAsia="仿宋_GB2312"/>
          <w:sz w:val="32"/>
          <w:szCs w:val="32"/>
        </w:rPr>
        <w:t>、苏州市</w:t>
      </w:r>
      <w:r>
        <w:rPr>
          <w:rFonts w:hint="eastAsia" w:eastAsia="仿宋_GB2312"/>
          <w:sz w:val="32"/>
          <w:szCs w:val="32"/>
        </w:rPr>
        <w:t>“</w:t>
      </w:r>
      <w:r>
        <w:rPr>
          <w:rFonts w:eastAsia="仿宋_GB2312"/>
          <w:sz w:val="32"/>
          <w:szCs w:val="32"/>
        </w:rPr>
        <w:t>姑苏人才计划</w:t>
      </w:r>
      <w:r>
        <w:rPr>
          <w:rFonts w:hint="eastAsia" w:eastAsia="仿宋_GB2312"/>
          <w:sz w:val="32"/>
          <w:szCs w:val="32"/>
        </w:rPr>
        <w:t>”</w:t>
      </w:r>
      <w:r>
        <w:rPr>
          <w:rFonts w:eastAsia="仿宋_GB2312"/>
          <w:sz w:val="32"/>
          <w:szCs w:val="32"/>
        </w:rPr>
        <w:t>人才，给予50万元安家补贴；省创新创业团队核心成员（不超过5名），给予25万元安家补贴；</w:t>
      </w:r>
    </w:p>
    <w:p>
      <w:pPr>
        <w:spacing w:line="560" w:lineRule="exact"/>
        <w:ind w:firstLine="640" w:firstLineChars="200"/>
        <w:rPr>
          <w:rFonts w:eastAsia="仿宋_GB2312"/>
          <w:sz w:val="32"/>
          <w:szCs w:val="32"/>
        </w:rPr>
      </w:pPr>
      <w:r>
        <w:rPr>
          <w:rFonts w:eastAsia="仿宋_GB2312"/>
          <w:sz w:val="32"/>
          <w:szCs w:val="32"/>
        </w:rPr>
        <w:t>4、太仓市科技领军人才，</w:t>
      </w:r>
      <w:r>
        <w:rPr>
          <w:rFonts w:eastAsia="仿宋_GB2312"/>
          <w:spacing w:val="-4"/>
          <w:sz w:val="32"/>
          <w:szCs w:val="32"/>
        </w:rPr>
        <w:t>创业类人才</w:t>
      </w:r>
      <w:r>
        <w:rPr>
          <w:rFonts w:eastAsia="仿宋_GB2312"/>
          <w:sz w:val="32"/>
          <w:szCs w:val="32"/>
        </w:rPr>
        <w:t>给予</w:t>
      </w:r>
      <w:r>
        <w:rPr>
          <w:rFonts w:hint="eastAsia" w:eastAsia="仿宋_GB2312"/>
          <w:sz w:val="32"/>
          <w:szCs w:val="32"/>
          <w:lang w:val="en-US" w:eastAsia="zh-CN"/>
        </w:rPr>
        <w:t>2</w:t>
      </w:r>
      <w:r>
        <w:rPr>
          <w:rFonts w:eastAsia="仿宋_GB2312"/>
          <w:sz w:val="32"/>
          <w:szCs w:val="32"/>
        </w:rPr>
        <w:t>0万元安家补贴；</w:t>
      </w:r>
      <w:r>
        <w:rPr>
          <w:rFonts w:hint="eastAsia" w:eastAsia="仿宋_GB2312"/>
          <w:sz w:val="32"/>
          <w:szCs w:val="32"/>
          <w:lang w:eastAsia="zh-CN"/>
        </w:rPr>
        <w:t>（</w:t>
      </w:r>
      <w:r>
        <w:rPr>
          <w:rFonts w:hint="eastAsia" w:eastAsia="仿宋_GB2312"/>
          <w:sz w:val="32"/>
          <w:szCs w:val="32"/>
          <w:lang w:val="en-US" w:eastAsia="zh-CN"/>
        </w:rPr>
        <w:t>注：后调整为30万元</w:t>
      </w:r>
      <w:bookmarkStart w:id="0" w:name="_GoBack"/>
      <w:bookmarkEnd w:id="0"/>
      <w:r>
        <w:rPr>
          <w:rFonts w:hint="eastAsia" w:eastAsia="仿宋_GB2312"/>
          <w:sz w:val="32"/>
          <w:szCs w:val="32"/>
          <w:lang w:eastAsia="zh-CN"/>
        </w:rPr>
        <w:t>）</w:t>
      </w:r>
      <w:r>
        <w:rPr>
          <w:rFonts w:eastAsia="仿宋_GB2312"/>
          <w:spacing w:val="-4"/>
          <w:sz w:val="32"/>
          <w:szCs w:val="32"/>
        </w:rPr>
        <w:t>创新</w:t>
      </w:r>
      <w:r>
        <w:rPr>
          <w:rFonts w:eastAsia="仿宋_GB2312"/>
          <w:sz w:val="32"/>
          <w:szCs w:val="32"/>
        </w:rPr>
        <w:t xml:space="preserve">类人才，符合《太仓市紧缺专业人才需求目录》的，博士研究生、硕士研究生分别给予15万元、10万元安家补贴；科技创新创业团队核心成员（不超过5名），给予10万元安家补贴； </w:t>
      </w:r>
    </w:p>
    <w:p>
      <w:pPr>
        <w:spacing w:line="560" w:lineRule="exact"/>
        <w:ind w:firstLine="640" w:firstLineChars="200"/>
        <w:rPr>
          <w:rFonts w:eastAsia="仿宋_GB2312"/>
          <w:sz w:val="32"/>
          <w:szCs w:val="32"/>
        </w:rPr>
      </w:pPr>
      <w:r>
        <w:rPr>
          <w:rFonts w:eastAsia="仿宋_GB2312"/>
          <w:sz w:val="32"/>
          <w:szCs w:val="32"/>
        </w:rPr>
        <w:t>5、太仓市文化名家、文化产业领军人才（文艺创作领军人才），分别给予20万元、15万元安家补贴；太仓市文艺创作重点人才，给予10万元安家补贴；</w:t>
      </w:r>
    </w:p>
    <w:p>
      <w:pPr>
        <w:spacing w:line="560" w:lineRule="exact"/>
        <w:ind w:firstLine="640" w:firstLineChars="200"/>
        <w:rPr>
          <w:rFonts w:eastAsia="仿宋_GB2312"/>
          <w:sz w:val="32"/>
          <w:szCs w:val="32"/>
        </w:rPr>
      </w:pPr>
      <w:r>
        <w:rPr>
          <w:rFonts w:eastAsia="仿宋_GB2312"/>
          <w:sz w:val="32"/>
          <w:szCs w:val="32"/>
        </w:rPr>
        <w:t>6、</w:t>
      </w:r>
      <w:r>
        <w:rPr>
          <w:rFonts w:eastAsia="仿宋_GB2312"/>
          <w:spacing w:val="-4"/>
          <w:sz w:val="32"/>
          <w:szCs w:val="32"/>
        </w:rPr>
        <w:t>高校专业建设领军人才、中小学高层次教育人才，给予15万元的安家补贴；</w:t>
      </w:r>
    </w:p>
    <w:p>
      <w:pPr>
        <w:spacing w:line="560" w:lineRule="exact"/>
        <w:ind w:firstLine="640" w:firstLineChars="200"/>
        <w:rPr>
          <w:rFonts w:eastAsia="仿宋_GB2312"/>
          <w:sz w:val="32"/>
          <w:szCs w:val="32"/>
        </w:rPr>
      </w:pPr>
      <w:r>
        <w:rPr>
          <w:rFonts w:eastAsia="仿宋_GB2312"/>
          <w:sz w:val="32"/>
          <w:szCs w:val="32"/>
        </w:rPr>
        <w:t>7、太仓市社会工作领军人才，博士研究生、硕士研究生分别给予15万元、10万元安家补贴；</w:t>
      </w:r>
    </w:p>
    <w:p>
      <w:pPr>
        <w:spacing w:line="560" w:lineRule="exact"/>
        <w:ind w:firstLine="640" w:firstLineChars="200"/>
        <w:rPr>
          <w:rFonts w:eastAsia="仿宋_GB2312"/>
          <w:sz w:val="32"/>
          <w:szCs w:val="32"/>
        </w:rPr>
      </w:pPr>
      <w:r>
        <w:rPr>
          <w:rFonts w:eastAsia="仿宋_GB2312"/>
          <w:sz w:val="32"/>
          <w:szCs w:val="32"/>
        </w:rPr>
        <w:t>8、</w:t>
      </w:r>
      <w:r>
        <w:rPr>
          <w:rFonts w:eastAsia="仿宋_GB2312"/>
          <w:spacing w:val="-4"/>
          <w:sz w:val="32"/>
          <w:szCs w:val="32"/>
        </w:rPr>
        <w:t>太仓市卫生紧缺人才，给予10万元安家补贴</w:t>
      </w:r>
      <w:r>
        <w:rPr>
          <w:rFonts w:eastAsia="仿宋_GB2312"/>
          <w:sz w:val="32"/>
          <w:szCs w:val="32"/>
        </w:rPr>
        <w:t>；</w:t>
      </w:r>
    </w:p>
    <w:p>
      <w:pPr>
        <w:spacing w:line="560" w:lineRule="exact"/>
        <w:ind w:firstLine="640" w:firstLineChars="200"/>
        <w:rPr>
          <w:rFonts w:eastAsia="仿宋_GB2312"/>
          <w:sz w:val="32"/>
          <w:szCs w:val="32"/>
        </w:rPr>
      </w:pPr>
      <w:r>
        <w:rPr>
          <w:rFonts w:eastAsia="仿宋_GB2312"/>
          <w:sz w:val="32"/>
          <w:szCs w:val="32"/>
        </w:rPr>
        <w:t>9、</w:t>
      </w:r>
      <w:r>
        <w:rPr>
          <w:rFonts w:eastAsia="仿宋_GB2312"/>
          <w:snapToGrid w:val="0"/>
          <w:spacing w:val="-4"/>
          <w:kern w:val="0"/>
          <w:sz w:val="32"/>
          <w:szCs w:val="32"/>
        </w:rPr>
        <w:t>对符合我市主导产业方向的领军人才企业、规模以上企业、高新技术企业、新兴产业企业引进的，</w:t>
      </w:r>
      <w:r>
        <w:rPr>
          <w:rFonts w:eastAsia="仿宋_GB2312"/>
          <w:sz w:val="32"/>
          <w:szCs w:val="32"/>
        </w:rPr>
        <w:t>符合《太仓市紧缺专业人才需求目录》的博士、硕士学位和研究生学历的分别给予15万元、10万元安家补贴；</w:t>
      </w:r>
    </w:p>
    <w:p>
      <w:pPr>
        <w:spacing w:line="560" w:lineRule="exact"/>
        <w:ind w:firstLine="640" w:firstLineChars="200"/>
        <w:rPr>
          <w:rFonts w:eastAsia="仿宋_GB2312"/>
          <w:sz w:val="32"/>
          <w:szCs w:val="32"/>
        </w:rPr>
      </w:pPr>
      <w:r>
        <w:rPr>
          <w:rFonts w:eastAsia="仿宋_GB2312"/>
          <w:sz w:val="32"/>
          <w:szCs w:val="32"/>
        </w:rPr>
        <w:t>10、</w:t>
      </w:r>
      <w:r>
        <w:rPr>
          <w:rFonts w:eastAsia="仿宋_GB2312"/>
          <w:snapToGrid w:val="0"/>
          <w:spacing w:val="-4"/>
          <w:kern w:val="0"/>
          <w:sz w:val="32"/>
          <w:szCs w:val="32"/>
        </w:rPr>
        <w:t>对于现代服务业、农业、政法、规划建设、旅游、体育等领域新引进的人才，由各主管部门制定引进标准、组织评选，入选人才符合《太仓市紧缺专业人才需求目录》的</w:t>
      </w:r>
      <w:r>
        <w:rPr>
          <w:rFonts w:eastAsia="仿宋_GB2312"/>
          <w:sz w:val="32"/>
          <w:szCs w:val="32"/>
        </w:rPr>
        <w:t>博士、硕士学位和研究生学历的分别给予15万元、10万元安家补贴，学士学位本科学历的给予5万元安家补贴；</w:t>
      </w:r>
    </w:p>
    <w:p>
      <w:pPr>
        <w:spacing w:line="560" w:lineRule="exact"/>
        <w:ind w:firstLine="624" w:firstLineChars="200"/>
        <w:rPr>
          <w:rFonts w:eastAsia="仿宋_GB2312"/>
          <w:spacing w:val="-4"/>
          <w:sz w:val="32"/>
          <w:szCs w:val="32"/>
        </w:rPr>
      </w:pPr>
      <w:r>
        <w:rPr>
          <w:rFonts w:eastAsia="仿宋_GB2312"/>
          <w:spacing w:val="-4"/>
          <w:sz w:val="32"/>
          <w:szCs w:val="32"/>
        </w:rPr>
        <w:t>11、各类人才在太仓购房以取得房产证为准，产业类人才通过项目中期绩效评估后方可申请安家补贴，其他类人才在太仓工作满1年后方可申请，</w:t>
      </w:r>
      <w:r>
        <w:rPr>
          <w:rFonts w:eastAsia="仿宋_GB2312"/>
          <w:snapToGrid w:val="0"/>
          <w:spacing w:val="-4"/>
          <w:kern w:val="0"/>
          <w:sz w:val="32"/>
          <w:szCs w:val="32"/>
        </w:rPr>
        <w:t>资助资金</w:t>
      </w:r>
      <w:r>
        <w:rPr>
          <w:rFonts w:eastAsia="仿宋_GB2312"/>
          <w:spacing w:val="-4"/>
          <w:sz w:val="32"/>
          <w:szCs w:val="32"/>
        </w:rPr>
        <w:t>分5年等额拨付。</w:t>
      </w:r>
      <w:r>
        <w:rPr>
          <w:rFonts w:eastAsia="仿宋_GB2312"/>
          <w:spacing w:val="-4"/>
          <w:kern w:val="0"/>
          <w:sz w:val="32"/>
          <w:szCs w:val="32"/>
        </w:rPr>
        <w:t>如夫妻双方均符合安家补贴申请条件的，按就高的原则进行资助，另一方不再享受安家补贴。</w:t>
      </w:r>
    </w:p>
    <w:p>
      <w:pPr>
        <w:spacing w:line="560" w:lineRule="exact"/>
        <w:ind w:firstLine="640" w:firstLineChars="200"/>
        <w:rPr>
          <w:rFonts w:eastAsia="仿宋_GB2312"/>
          <w:sz w:val="32"/>
          <w:szCs w:val="32"/>
        </w:rPr>
      </w:pPr>
      <w:r>
        <w:rPr>
          <w:rFonts w:eastAsia="仿宋_GB2312"/>
          <w:sz w:val="32"/>
          <w:szCs w:val="32"/>
        </w:rPr>
        <w:t>（二）人才公寓</w:t>
      </w:r>
    </w:p>
    <w:p>
      <w:pPr>
        <w:spacing w:line="560" w:lineRule="exact"/>
        <w:ind w:firstLine="640" w:firstLineChars="200"/>
        <w:rPr>
          <w:rFonts w:eastAsia="仿宋_GB2312"/>
          <w:sz w:val="32"/>
          <w:szCs w:val="32"/>
        </w:rPr>
      </w:pPr>
      <w:r>
        <w:rPr>
          <w:rFonts w:eastAsia="仿宋_GB2312"/>
          <w:sz w:val="32"/>
          <w:szCs w:val="32"/>
        </w:rPr>
        <w:t>1、中国科学院院士、中国工程院院士，国家</w:t>
      </w:r>
      <w:r>
        <w:rPr>
          <w:rFonts w:hint="eastAsia" w:eastAsia="仿宋_GB2312"/>
          <w:sz w:val="32"/>
          <w:szCs w:val="32"/>
        </w:rPr>
        <w:t>“</w:t>
      </w:r>
      <w:r>
        <w:rPr>
          <w:rFonts w:eastAsia="仿宋_GB2312"/>
          <w:sz w:val="32"/>
          <w:szCs w:val="32"/>
        </w:rPr>
        <w:t>千人计划</w:t>
      </w:r>
      <w:r>
        <w:rPr>
          <w:rFonts w:hint="eastAsia" w:eastAsia="仿宋_GB2312"/>
          <w:sz w:val="32"/>
          <w:szCs w:val="32"/>
        </w:rPr>
        <w:t>”</w:t>
      </w:r>
      <w:r>
        <w:rPr>
          <w:rFonts w:eastAsia="仿宋_GB2312"/>
          <w:sz w:val="32"/>
          <w:szCs w:val="32"/>
        </w:rPr>
        <w:t>人才，未购房的，政府提供人才公寓，免3年租金；</w:t>
      </w:r>
    </w:p>
    <w:p>
      <w:pPr>
        <w:spacing w:line="560" w:lineRule="exact"/>
        <w:ind w:firstLine="640" w:firstLineChars="200"/>
        <w:rPr>
          <w:rFonts w:eastAsia="仿宋_GB2312"/>
          <w:sz w:val="32"/>
          <w:szCs w:val="32"/>
        </w:rPr>
      </w:pPr>
      <w:r>
        <w:rPr>
          <w:rFonts w:eastAsia="仿宋_GB2312"/>
          <w:sz w:val="32"/>
          <w:szCs w:val="32"/>
        </w:rPr>
        <w:t>2、省</w:t>
      </w:r>
      <w:r>
        <w:rPr>
          <w:rFonts w:hint="eastAsia" w:eastAsia="仿宋_GB2312"/>
          <w:sz w:val="32"/>
          <w:szCs w:val="32"/>
        </w:rPr>
        <w:t>“</w:t>
      </w:r>
      <w:r>
        <w:rPr>
          <w:rFonts w:eastAsia="仿宋_GB2312"/>
          <w:sz w:val="32"/>
          <w:szCs w:val="32"/>
        </w:rPr>
        <w:t>双创人才计划</w:t>
      </w:r>
      <w:r>
        <w:rPr>
          <w:rFonts w:hint="eastAsia" w:eastAsia="仿宋_GB2312"/>
          <w:sz w:val="32"/>
          <w:szCs w:val="32"/>
        </w:rPr>
        <w:t>”</w:t>
      </w:r>
      <w:r>
        <w:rPr>
          <w:rFonts w:eastAsia="仿宋_GB2312"/>
          <w:sz w:val="32"/>
          <w:szCs w:val="32"/>
        </w:rPr>
        <w:t>、苏州市</w:t>
      </w:r>
      <w:r>
        <w:rPr>
          <w:rFonts w:hint="eastAsia" w:eastAsia="仿宋_GB2312"/>
          <w:sz w:val="32"/>
          <w:szCs w:val="32"/>
        </w:rPr>
        <w:t>“</w:t>
      </w:r>
      <w:r>
        <w:rPr>
          <w:rFonts w:eastAsia="仿宋_GB2312"/>
          <w:sz w:val="32"/>
          <w:szCs w:val="32"/>
        </w:rPr>
        <w:t>姑苏人才计划</w:t>
      </w:r>
      <w:r>
        <w:rPr>
          <w:rFonts w:hint="eastAsia" w:eastAsia="仿宋_GB2312"/>
          <w:sz w:val="32"/>
          <w:szCs w:val="32"/>
        </w:rPr>
        <w:t>”</w:t>
      </w:r>
      <w:r>
        <w:rPr>
          <w:rFonts w:eastAsia="仿宋_GB2312"/>
          <w:sz w:val="32"/>
          <w:szCs w:val="32"/>
        </w:rPr>
        <w:t>人才，省创新创业团队核心成员（不超过5名），未购房的，政府提供人才公寓，免2年租金；</w:t>
      </w:r>
    </w:p>
    <w:p>
      <w:pPr>
        <w:spacing w:line="560" w:lineRule="exact"/>
        <w:ind w:firstLine="640" w:firstLineChars="200"/>
        <w:rPr>
          <w:rFonts w:eastAsia="仿宋_GB2312"/>
          <w:sz w:val="32"/>
          <w:szCs w:val="32"/>
        </w:rPr>
      </w:pPr>
      <w:r>
        <w:rPr>
          <w:rFonts w:eastAsia="仿宋_GB2312"/>
          <w:sz w:val="32"/>
          <w:szCs w:val="32"/>
        </w:rPr>
        <w:t>3、太仓市科技领军人才（含创业类、创新类、团队核心成员），太仓市文化名家、文化产业领军人才（文艺创作领军人才），未购房的，政府提供人才公寓，免2年租金；</w:t>
      </w:r>
    </w:p>
    <w:p>
      <w:pPr>
        <w:spacing w:line="560" w:lineRule="exact"/>
        <w:ind w:firstLine="624" w:firstLineChars="200"/>
        <w:rPr>
          <w:rFonts w:eastAsia="仿宋_GB2312"/>
          <w:spacing w:val="-4"/>
          <w:sz w:val="32"/>
          <w:szCs w:val="32"/>
        </w:rPr>
      </w:pPr>
      <w:r>
        <w:rPr>
          <w:rFonts w:eastAsia="仿宋_GB2312"/>
          <w:spacing w:val="-4"/>
          <w:sz w:val="32"/>
          <w:szCs w:val="32"/>
        </w:rPr>
        <w:t>4、高校专业建设领军人才、中小学高层次教育人才，未购房的，政府提供人才公寓，免2年租金；</w:t>
      </w:r>
    </w:p>
    <w:p>
      <w:pPr>
        <w:spacing w:line="560" w:lineRule="exact"/>
        <w:ind w:firstLine="640" w:firstLineChars="200"/>
        <w:rPr>
          <w:rFonts w:eastAsia="仿宋_GB2312"/>
          <w:sz w:val="32"/>
          <w:szCs w:val="32"/>
        </w:rPr>
      </w:pPr>
      <w:r>
        <w:rPr>
          <w:rFonts w:eastAsia="仿宋_GB2312"/>
          <w:sz w:val="32"/>
          <w:szCs w:val="32"/>
        </w:rPr>
        <w:t>5、太仓市社会工作领军人才，未购房的，政府提供人才公寓，免2年租金；</w:t>
      </w:r>
    </w:p>
    <w:p>
      <w:pPr>
        <w:spacing w:line="560" w:lineRule="exact"/>
        <w:ind w:firstLine="640" w:firstLineChars="200"/>
        <w:rPr>
          <w:rFonts w:eastAsia="仿宋_GB2312"/>
          <w:sz w:val="32"/>
          <w:szCs w:val="32"/>
        </w:rPr>
      </w:pPr>
      <w:r>
        <w:rPr>
          <w:rFonts w:eastAsia="仿宋_GB2312"/>
          <w:sz w:val="32"/>
          <w:szCs w:val="32"/>
        </w:rPr>
        <w:t>6、其他具有硕士以上学历或高级职称的非领军人才，经市人才办认定可优先租赁城北青年公寓，享受同地段市场租金50%的租金价格。</w:t>
      </w:r>
    </w:p>
    <w:p>
      <w:pPr>
        <w:spacing w:line="560" w:lineRule="exact"/>
        <w:ind w:firstLine="640" w:firstLineChars="200"/>
        <w:rPr>
          <w:rFonts w:eastAsia="仿宋_GB2312"/>
          <w:sz w:val="32"/>
          <w:szCs w:val="32"/>
        </w:rPr>
      </w:pPr>
      <w:r>
        <w:rPr>
          <w:rFonts w:eastAsia="仿宋_GB2312"/>
          <w:sz w:val="32"/>
          <w:szCs w:val="32"/>
        </w:rPr>
        <w:t>（三）住房公积金</w:t>
      </w:r>
    </w:p>
    <w:p>
      <w:pPr>
        <w:spacing w:line="560" w:lineRule="exact"/>
        <w:ind w:firstLine="640" w:firstLineChars="200"/>
        <w:rPr>
          <w:rFonts w:eastAsia="仿宋_GB2312"/>
          <w:sz w:val="32"/>
          <w:szCs w:val="32"/>
        </w:rPr>
      </w:pPr>
      <w:r>
        <w:rPr>
          <w:rFonts w:eastAsia="仿宋_GB2312"/>
          <w:sz w:val="32"/>
          <w:szCs w:val="32"/>
        </w:rPr>
        <w:t>1、引进人才（含外籍）可按规定在本市缴存和使用住房公积金。已达法定退休年龄的，缴存期限可延长至解除劳动合同为止。离开本市时，按规定办理住房公积金</w:t>
      </w:r>
      <w:r>
        <w:rPr>
          <w:rFonts w:hint="eastAsia" w:eastAsia="仿宋_GB2312"/>
          <w:sz w:val="32"/>
          <w:szCs w:val="32"/>
        </w:rPr>
        <w:t>账户</w:t>
      </w:r>
      <w:r>
        <w:rPr>
          <w:rFonts w:eastAsia="仿宋_GB2312"/>
          <w:sz w:val="32"/>
          <w:szCs w:val="32"/>
        </w:rPr>
        <w:t>余额转移或提取手续。用人单位可按引进人才的实际工资总额作为公积金月缴存基数，不受本市缴存封顶额的限制。</w:t>
      </w:r>
    </w:p>
    <w:p>
      <w:pPr>
        <w:spacing w:line="560" w:lineRule="exact"/>
        <w:ind w:firstLine="640" w:firstLineChars="200"/>
        <w:rPr>
          <w:rFonts w:eastAsia="仿宋_GB2312"/>
          <w:sz w:val="32"/>
          <w:szCs w:val="32"/>
        </w:rPr>
      </w:pPr>
      <w:r>
        <w:rPr>
          <w:rFonts w:eastAsia="仿宋_GB2312"/>
          <w:sz w:val="32"/>
          <w:szCs w:val="32"/>
        </w:rPr>
        <w:t>2、引进人才自缴存住房公积金当月起，即具备申请公积金贷款条件。贷款额度按实测算，贷款最高限额可放宽到本市现行最高限额的四倍，贷款房源不受房型的限制。</w:t>
      </w:r>
    </w:p>
    <w:p>
      <w:pPr>
        <w:spacing w:line="560" w:lineRule="exact"/>
        <w:ind w:firstLine="640" w:firstLineChars="200"/>
        <w:rPr>
          <w:rFonts w:eastAsia="仿宋_GB2312"/>
          <w:sz w:val="32"/>
          <w:szCs w:val="32"/>
        </w:rPr>
      </w:pPr>
      <w:r>
        <w:rPr>
          <w:rFonts w:eastAsia="仿宋_GB2312"/>
          <w:sz w:val="32"/>
          <w:szCs w:val="32"/>
        </w:rPr>
        <w:t>3、引进人才购买自住住房并贷款的，在还贷期间可每年两次提取（或委托按月提取）住房公积金</w:t>
      </w:r>
      <w:r>
        <w:rPr>
          <w:rFonts w:hint="eastAsia" w:eastAsia="仿宋_GB2312"/>
          <w:sz w:val="32"/>
          <w:szCs w:val="32"/>
        </w:rPr>
        <w:t>账户</w:t>
      </w:r>
      <w:r>
        <w:rPr>
          <w:rFonts w:eastAsia="仿宋_GB2312"/>
          <w:sz w:val="32"/>
          <w:szCs w:val="32"/>
        </w:rPr>
        <w:t>全部余额偿还贷款；未贷款的，自购房之日起三年内也可每年两次提取（或委托按月提取）住房公积金</w:t>
      </w:r>
      <w:r>
        <w:rPr>
          <w:rFonts w:hint="eastAsia" w:eastAsia="仿宋_GB2312"/>
          <w:sz w:val="32"/>
          <w:szCs w:val="32"/>
        </w:rPr>
        <w:t>账户</w:t>
      </w:r>
      <w:r>
        <w:rPr>
          <w:rFonts w:eastAsia="仿宋_GB2312"/>
          <w:sz w:val="32"/>
          <w:szCs w:val="32"/>
        </w:rPr>
        <w:t>全部余额；租赁自住住房的，可每年两次提取住房公积金</w:t>
      </w:r>
      <w:r>
        <w:rPr>
          <w:rFonts w:hint="eastAsia" w:eastAsia="仿宋_GB2312"/>
          <w:sz w:val="32"/>
          <w:szCs w:val="32"/>
        </w:rPr>
        <w:t>账户</w:t>
      </w:r>
      <w:r>
        <w:rPr>
          <w:rFonts w:eastAsia="仿宋_GB2312"/>
          <w:sz w:val="32"/>
          <w:szCs w:val="32"/>
        </w:rPr>
        <w:t>全部余额支付租金。引进人才的直系亲属也可同时享受上述提取政策。</w:t>
      </w:r>
    </w:p>
    <w:p>
      <w:pPr>
        <w:spacing w:line="560" w:lineRule="exact"/>
        <w:ind w:firstLine="640" w:firstLineChars="200"/>
        <w:rPr>
          <w:rFonts w:eastAsia="仿宋_GB2312"/>
          <w:sz w:val="32"/>
          <w:szCs w:val="32"/>
        </w:rPr>
      </w:pPr>
      <w:r>
        <w:rPr>
          <w:rFonts w:eastAsia="仿宋_GB2312"/>
          <w:sz w:val="32"/>
          <w:szCs w:val="32"/>
        </w:rPr>
        <w:t>4、为引进人才缴存、使用住房公积金建立专门数据库。在服务大厅享受绿色通道待遇，并实施全程跟踪服务。</w:t>
      </w:r>
    </w:p>
    <w:p>
      <w:pPr>
        <w:spacing w:line="560" w:lineRule="exact"/>
        <w:ind w:firstLine="630"/>
        <w:rPr>
          <w:rFonts w:eastAsia="仿宋_GB2312"/>
          <w:sz w:val="32"/>
          <w:szCs w:val="32"/>
        </w:rPr>
      </w:pPr>
      <w:r>
        <w:rPr>
          <w:rFonts w:eastAsia="仿宋_GB2312"/>
          <w:b/>
          <w:sz w:val="32"/>
          <w:szCs w:val="32"/>
        </w:rPr>
        <w:t xml:space="preserve">第八条  </w:t>
      </w:r>
      <w:r>
        <w:rPr>
          <w:rFonts w:eastAsia="仿宋_GB2312"/>
          <w:sz w:val="32"/>
          <w:szCs w:val="32"/>
        </w:rPr>
        <w:t>子女入学</w:t>
      </w:r>
    </w:p>
    <w:p>
      <w:pPr>
        <w:spacing w:line="560" w:lineRule="exact"/>
        <w:ind w:firstLine="624" w:firstLineChars="200"/>
        <w:rPr>
          <w:rFonts w:eastAsia="仿宋_GB2312"/>
          <w:snapToGrid w:val="0"/>
          <w:spacing w:val="-4"/>
          <w:kern w:val="0"/>
          <w:sz w:val="32"/>
          <w:szCs w:val="32"/>
        </w:rPr>
      </w:pPr>
      <w:r>
        <w:rPr>
          <w:rFonts w:eastAsia="仿宋_GB2312"/>
          <w:snapToGrid w:val="0"/>
          <w:spacing w:val="-4"/>
          <w:kern w:val="0"/>
          <w:sz w:val="32"/>
          <w:szCs w:val="32"/>
        </w:rPr>
        <w:t>（一）引进人才已落户太仓或已在太仓拥有合法居所（指拥有产权或私宅），其子女属义务教育阶段学生入学或学前教育阶段学生入园，可根据户籍或其合法固定住所安排到所属施教区就读。</w:t>
      </w:r>
    </w:p>
    <w:p>
      <w:pPr>
        <w:spacing w:line="560" w:lineRule="exact"/>
        <w:ind w:firstLine="630"/>
        <w:rPr>
          <w:rFonts w:eastAsia="仿宋_GB2312"/>
          <w:snapToGrid w:val="0"/>
          <w:spacing w:val="-4"/>
          <w:kern w:val="0"/>
          <w:sz w:val="32"/>
          <w:szCs w:val="32"/>
        </w:rPr>
      </w:pPr>
      <w:r>
        <w:rPr>
          <w:rFonts w:eastAsia="仿宋_GB2312"/>
          <w:snapToGrid w:val="0"/>
          <w:spacing w:val="-4"/>
          <w:kern w:val="0"/>
          <w:sz w:val="32"/>
          <w:szCs w:val="32"/>
        </w:rPr>
        <w:t>（二）引进人才属</w:t>
      </w:r>
      <w:r>
        <w:rPr>
          <w:rFonts w:eastAsia="仿宋_GB2312"/>
          <w:sz w:val="32"/>
          <w:szCs w:val="32"/>
        </w:rPr>
        <w:t>中国科学院院士、中国工程院院士</w:t>
      </w:r>
      <w:r>
        <w:rPr>
          <w:rFonts w:eastAsia="仿宋_GB2312"/>
          <w:snapToGrid w:val="0"/>
          <w:spacing w:val="-4"/>
          <w:kern w:val="0"/>
          <w:sz w:val="32"/>
          <w:szCs w:val="32"/>
        </w:rPr>
        <w:t>和国家</w:t>
      </w:r>
      <w:r>
        <w:rPr>
          <w:rFonts w:hint="eastAsia" w:eastAsia="仿宋_GB2312"/>
          <w:snapToGrid w:val="0"/>
          <w:spacing w:val="-4"/>
          <w:kern w:val="0"/>
          <w:sz w:val="32"/>
          <w:szCs w:val="32"/>
        </w:rPr>
        <w:t>“</w:t>
      </w:r>
      <w:r>
        <w:rPr>
          <w:rFonts w:eastAsia="仿宋_GB2312"/>
          <w:snapToGrid w:val="0"/>
          <w:spacing w:val="-4"/>
          <w:kern w:val="0"/>
          <w:sz w:val="32"/>
          <w:szCs w:val="32"/>
        </w:rPr>
        <w:t>千人计划</w:t>
      </w:r>
      <w:r>
        <w:rPr>
          <w:rFonts w:hint="eastAsia" w:eastAsia="仿宋_GB2312"/>
          <w:snapToGrid w:val="0"/>
          <w:spacing w:val="-4"/>
          <w:kern w:val="0"/>
          <w:sz w:val="32"/>
          <w:szCs w:val="32"/>
        </w:rPr>
        <w:t>”</w:t>
      </w:r>
      <w:r>
        <w:rPr>
          <w:rFonts w:eastAsia="仿宋_GB2312"/>
          <w:snapToGrid w:val="0"/>
          <w:spacing w:val="-4"/>
          <w:kern w:val="0"/>
          <w:sz w:val="32"/>
          <w:szCs w:val="32"/>
        </w:rPr>
        <w:t>、省</w:t>
      </w:r>
      <w:r>
        <w:rPr>
          <w:rFonts w:hint="eastAsia" w:eastAsia="仿宋_GB2312"/>
          <w:snapToGrid w:val="0"/>
          <w:spacing w:val="-4"/>
          <w:kern w:val="0"/>
          <w:sz w:val="32"/>
          <w:szCs w:val="32"/>
        </w:rPr>
        <w:t>“</w:t>
      </w:r>
      <w:r>
        <w:rPr>
          <w:rFonts w:eastAsia="仿宋_GB2312"/>
          <w:snapToGrid w:val="0"/>
          <w:spacing w:val="-4"/>
          <w:kern w:val="0"/>
          <w:sz w:val="32"/>
          <w:szCs w:val="32"/>
        </w:rPr>
        <w:t>双创人才计划</w:t>
      </w:r>
      <w:r>
        <w:rPr>
          <w:rFonts w:hint="eastAsia" w:eastAsia="仿宋_GB2312"/>
          <w:snapToGrid w:val="0"/>
          <w:spacing w:val="-4"/>
          <w:kern w:val="0"/>
          <w:sz w:val="32"/>
          <w:szCs w:val="32"/>
        </w:rPr>
        <w:t>”</w:t>
      </w:r>
      <w:r>
        <w:rPr>
          <w:rFonts w:eastAsia="仿宋_GB2312"/>
          <w:snapToGrid w:val="0"/>
          <w:spacing w:val="-4"/>
          <w:kern w:val="0"/>
          <w:sz w:val="32"/>
          <w:szCs w:val="32"/>
        </w:rPr>
        <w:t>、苏州市</w:t>
      </w:r>
      <w:r>
        <w:rPr>
          <w:rFonts w:hint="eastAsia" w:eastAsia="仿宋_GB2312"/>
          <w:snapToGrid w:val="0"/>
          <w:spacing w:val="-4"/>
          <w:kern w:val="0"/>
          <w:sz w:val="32"/>
          <w:szCs w:val="32"/>
        </w:rPr>
        <w:t>“</w:t>
      </w:r>
      <w:r>
        <w:rPr>
          <w:rFonts w:eastAsia="仿宋_GB2312"/>
          <w:snapToGrid w:val="0"/>
          <w:spacing w:val="-4"/>
          <w:kern w:val="0"/>
          <w:sz w:val="32"/>
          <w:szCs w:val="32"/>
        </w:rPr>
        <w:t>姑苏人才计划</w:t>
      </w:r>
      <w:r>
        <w:rPr>
          <w:rFonts w:hint="eastAsia" w:eastAsia="仿宋_GB2312"/>
          <w:snapToGrid w:val="0"/>
          <w:spacing w:val="-4"/>
          <w:kern w:val="0"/>
          <w:sz w:val="32"/>
          <w:szCs w:val="32"/>
        </w:rPr>
        <w:t>”</w:t>
      </w:r>
      <w:r>
        <w:rPr>
          <w:rFonts w:eastAsia="仿宋_GB2312"/>
          <w:snapToGrid w:val="0"/>
          <w:spacing w:val="-4"/>
          <w:kern w:val="0"/>
          <w:sz w:val="32"/>
          <w:szCs w:val="32"/>
        </w:rPr>
        <w:t>人才，太仓科技创新创业市长奖获得者，其子女属义务教育阶段学生入学或学前教育阶段学生入园，可根据其要求安排到有关学校或幼儿园就读。</w:t>
      </w:r>
    </w:p>
    <w:p>
      <w:pPr>
        <w:spacing w:line="560" w:lineRule="exact"/>
        <w:ind w:firstLine="630"/>
        <w:rPr>
          <w:rFonts w:eastAsia="仿宋_GB2312"/>
          <w:snapToGrid w:val="0"/>
          <w:spacing w:val="-4"/>
          <w:kern w:val="0"/>
          <w:sz w:val="32"/>
          <w:szCs w:val="32"/>
        </w:rPr>
      </w:pPr>
      <w:r>
        <w:rPr>
          <w:rFonts w:eastAsia="仿宋_GB2312"/>
          <w:snapToGrid w:val="0"/>
          <w:spacing w:val="-4"/>
          <w:kern w:val="0"/>
          <w:sz w:val="32"/>
          <w:szCs w:val="32"/>
        </w:rPr>
        <w:t>（三）引进人才属太仓市级领军人才计划人才，其子女属义务教育阶段学生入学或学前教育阶段学生入园，可根据其居住地学校或幼儿园学额情况就近安排就读。</w:t>
      </w:r>
    </w:p>
    <w:p>
      <w:pPr>
        <w:spacing w:line="560" w:lineRule="exact"/>
        <w:ind w:firstLine="630"/>
        <w:rPr>
          <w:rFonts w:eastAsia="仿宋_GB2312"/>
          <w:snapToGrid w:val="0"/>
          <w:spacing w:val="-4"/>
          <w:kern w:val="0"/>
          <w:sz w:val="32"/>
          <w:szCs w:val="32"/>
        </w:rPr>
      </w:pPr>
      <w:r>
        <w:rPr>
          <w:rFonts w:eastAsia="仿宋_GB2312"/>
          <w:snapToGrid w:val="0"/>
          <w:spacing w:val="-4"/>
          <w:kern w:val="0"/>
          <w:sz w:val="32"/>
          <w:szCs w:val="32"/>
        </w:rPr>
        <w:t>（四）引进人才户籍不在太仓且在太仓也无合法居所，其子女属义务教育阶段学生入学或学前教育阶段学生入园，按该引进人才工作单位所在地学区就近安排到相关学校或幼儿园就读。</w:t>
      </w:r>
    </w:p>
    <w:p>
      <w:pPr>
        <w:spacing w:line="560" w:lineRule="exact"/>
        <w:ind w:firstLine="630"/>
        <w:rPr>
          <w:rFonts w:eastAsia="仿宋_GB2312"/>
          <w:snapToGrid w:val="0"/>
          <w:spacing w:val="-4"/>
          <w:kern w:val="0"/>
          <w:sz w:val="32"/>
          <w:szCs w:val="32"/>
        </w:rPr>
      </w:pPr>
      <w:r>
        <w:rPr>
          <w:rFonts w:eastAsia="仿宋_GB2312"/>
          <w:snapToGrid w:val="0"/>
          <w:spacing w:val="-4"/>
          <w:kern w:val="0"/>
          <w:sz w:val="32"/>
          <w:szCs w:val="32"/>
        </w:rPr>
        <w:t>（五）在外地就读高中阶段学校的引进人才子女申请转学，按与原就读高中学校等级相当的原则和实际情况，安排在本市高中学校就读，视情况减免学杂费。</w:t>
      </w:r>
    </w:p>
    <w:p>
      <w:pPr>
        <w:spacing w:line="560" w:lineRule="exact"/>
        <w:ind w:firstLine="630"/>
        <w:rPr>
          <w:rFonts w:eastAsia="仿宋_GB2312"/>
          <w:snapToGrid w:val="0"/>
          <w:spacing w:val="-4"/>
          <w:kern w:val="0"/>
          <w:sz w:val="32"/>
          <w:szCs w:val="32"/>
        </w:rPr>
      </w:pPr>
      <w:r>
        <w:rPr>
          <w:rFonts w:eastAsia="仿宋_GB2312"/>
          <w:snapToGrid w:val="0"/>
          <w:spacing w:val="-4"/>
          <w:kern w:val="0"/>
          <w:sz w:val="32"/>
          <w:szCs w:val="32"/>
        </w:rPr>
        <w:t>（六）引进人才非本市户籍的子女在本市就读义务教育阶段和高中阶段学校，享受本市户籍学生同等待遇；在我市初中就读的非本市户籍子女可享有与本市户籍初中毕业生同等报考高中阶段学校资格。</w:t>
      </w:r>
    </w:p>
    <w:p>
      <w:pPr>
        <w:spacing w:line="560" w:lineRule="exact"/>
        <w:jc w:val="center"/>
      </w:pPr>
      <w:r>
        <w:rPr>
          <w:rFonts w:eastAsia="黑体"/>
          <w:sz w:val="32"/>
          <w:szCs w:val="32"/>
        </w:rPr>
        <w:t>第三章  日常管理</w:t>
      </w:r>
    </w:p>
    <w:p>
      <w:pPr>
        <w:spacing w:line="560" w:lineRule="exact"/>
        <w:ind w:firstLine="643" w:firstLineChars="200"/>
        <w:rPr>
          <w:rFonts w:eastAsia="仿宋_GB2312"/>
          <w:sz w:val="32"/>
          <w:szCs w:val="32"/>
        </w:rPr>
      </w:pPr>
      <w:r>
        <w:rPr>
          <w:rFonts w:eastAsia="仿宋_GB2312"/>
          <w:b/>
          <w:sz w:val="32"/>
          <w:szCs w:val="32"/>
        </w:rPr>
        <w:t>第九条</w:t>
      </w:r>
      <w:r>
        <w:rPr>
          <w:rFonts w:eastAsia="仿宋_GB2312"/>
          <w:sz w:val="32"/>
          <w:szCs w:val="32"/>
        </w:rPr>
        <w:t xml:space="preserve">  本办法的适用对象以国家、省、苏州市和太仓市相关部门正式发文为依据，本《办法》特指的其他享受对象由市人才办和市各有关部门提出申请，太仓市人才工作领导小组进行审核认定。</w:t>
      </w:r>
    </w:p>
    <w:p>
      <w:pPr>
        <w:spacing w:line="560" w:lineRule="exact"/>
        <w:ind w:firstLine="643" w:firstLineChars="200"/>
        <w:rPr>
          <w:rFonts w:eastAsia="仿宋_GB2312"/>
          <w:sz w:val="32"/>
          <w:szCs w:val="32"/>
        </w:rPr>
      </w:pPr>
      <w:r>
        <w:rPr>
          <w:rFonts w:eastAsia="仿宋_GB2312"/>
          <w:b/>
          <w:sz w:val="32"/>
          <w:szCs w:val="32"/>
        </w:rPr>
        <w:t>第十条</w:t>
      </w:r>
      <w:r>
        <w:rPr>
          <w:rFonts w:eastAsia="仿宋_GB2312"/>
          <w:sz w:val="32"/>
          <w:szCs w:val="32"/>
        </w:rPr>
        <w:t xml:space="preserve">  太仓市人力资源和社会保障局具体负责高层次人才享受生活待遇的申请受理、协调服务和跟踪落实，引进人才享受本办法规定的生活待遇。</w:t>
      </w:r>
    </w:p>
    <w:p>
      <w:pPr>
        <w:spacing w:line="560" w:lineRule="exact"/>
        <w:ind w:firstLine="643" w:firstLineChars="200"/>
        <w:rPr>
          <w:rFonts w:eastAsia="仿宋_GB2312"/>
          <w:sz w:val="32"/>
          <w:szCs w:val="32"/>
        </w:rPr>
      </w:pPr>
      <w:r>
        <w:rPr>
          <w:rFonts w:eastAsia="仿宋_GB2312"/>
          <w:b/>
          <w:sz w:val="32"/>
          <w:szCs w:val="32"/>
        </w:rPr>
        <w:t xml:space="preserve">第十一条  </w:t>
      </w:r>
      <w:r>
        <w:rPr>
          <w:rFonts w:eastAsia="仿宋_GB2312"/>
          <w:sz w:val="32"/>
          <w:szCs w:val="32"/>
        </w:rPr>
        <w:t>太仓市人才办会同相关部门建立高层次人才数据库，供相关单位对照核查。</w:t>
      </w:r>
    </w:p>
    <w:p>
      <w:pPr>
        <w:spacing w:line="560" w:lineRule="exact"/>
        <w:ind w:firstLine="643" w:firstLineChars="200"/>
        <w:rPr>
          <w:rFonts w:eastAsia="仿宋_GB2312"/>
          <w:sz w:val="32"/>
          <w:szCs w:val="32"/>
        </w:rPr>
      </w:pPr>
      <w:r>
        <w:rPr>
          <w:rFonts w:eastAsia="仿宋_GB2312"/>
          <w:b/>
          <w:sz w:val="32"/>
          <w:szCs w:val="32"/>
        </w:rPr>
        <w:t>第十二条</w:t>
      </w:r>
      <w:r>
        <w:rPr>
          <w:rFonts w:eastAsia="仿宋_GB2312"/>
          <w:sz w:val="32"/>
          <w:szCs w:val="32"/>
        </w:rPr>
        <w:t xml:space="preserve">  有下列情况之一的，不再享受本办法规定的生活待遇：</w:t>
      </w:r>
    </w:p>
    <w:p>
      <w:pPr>
        <w:spacing w:line="560" w:lineRule="exact"/>
        <w:ind w:firstLine="640" w:firstLineChars="200"/>
        <w:rPr>
          <w:rFonts w:eastAsia="仿宋_GB2312"/>
          <w:sz w:val="32"/>
          <w:szCs w:val="32"/>
        </w:rPr>
      </w:pPr>
      <w:r>
        <w:rPr>
          <w:rFonts w:eastAsia="仿宋_GB2312"/>
          <w:sz w:val="32"/>
          <w:szCs w:val="32"/>
        </w:rPr>
        <w:t>（一）因违法犯罪受到处罚造成严重社会影响的；</w:t>
      </w:r>
    </w:p>
    <w:p>
      <w:pPr>
        <w:spacing w:line="560" w:lineRule="exact"/>
        <w:ind w:firstLine="640" w:firstLineChars="200"/>
        <w:rPr>
          <w:rFonts w:eastAsia="仿宋_GB2312"/>
          <w:sz w:val="32"/>
          <w:szCs w:val="32"/>
        </w:rPr>
      </w:pPr>
      <w:r>
        <w:rPr>
          <w:rFonts w:eastAsia="仿宋_GB2312"/>
          <w:sz w:val="32"/>
          <w:szCs w:val="32"/>
        </w:rPr>
        <w:t>（二）在申报各类人才计划和科技项目，以及从事科学研究中，存在弄虚作假的；</w:t>
      </w:r>
    </w:p>
    <w:p>
      <w:pPr>
        <w:spacing w:line="560" w:lineRule="exact"/>
        <w:ind w:firstLine="640" w:firstLineChars="200"/>
        <w:rPr>
          <w:rFonts w:eastAsia="仿宋_GB2312"/>
          <w:sz w:val="32"/>
          <w:szCs w:val="32"/>
        </w:rPr>
      </w:pPr>
      <w:r>
        <w:rPr>
          <w:rFonts w:eastAsia="仿宋_GB2312"/>
          <w:sz w:val="32"/>
          <w:szCs w:val="32"/>
        </w:rPr>
        <w:t>（三）因个人原因或工作变动不在太仓工作的；</w:t>
      </w:r>
    </w:p>
    <w:p>
      <w:pPr>
        <w:spacing w:line="560" w:lineRule="exact"/>
        <w:ind w:firstLine="630"/>
        <w:rPr>
          <w:rFonts w:eastAsia="仿宋_GB2312"/>
          <w:sz w:val="32"/>
          <w:szCs w:val="32"/>
        </w:rPr>
      </w:pPr>
      <w:r>
        <w:rPr>
          <w:rFonts w:eastAsia="仿宋_GB2312"/>
          <w:sz w:val="32"/>
          <w:szCs w:val="32"/>
        </w:rPr>
        <w:t>（四）其他应当予以终止待遇的情形。</w:t>
      </w:r>
    </w:p>
    <w:p>
      <w:pPr>
        <w:spacing w:line="560" w:lineRule="exact"/>
        <w:jc w:val="center"/>
        <w:rPr>
          <w:rFonts w:eastAsia="黑体"/>
          <w:sz w:val="32"/>
          <w:szCs w:val="32"/>
        </w:rPr>
      </w:pPr>
      <w:r>
        <w:rPr>
          <w:rFonts w:eastAsia="黑体"/>
          <w:sz w:val="32"/>
          <w:szCs w:val="32"/>
        </w:rPr>
        <w:t>第四章  附  则</w:t>
      </w:r>
    </w:p>
    <w:p>
      <w:pPr>
        <w:spacing w:line="560" w:lineRule="exact"/>
        <w:ind w:firstLine="643" w:firstLineChars="200"/>
        <w:rPr>
          <w:rFonts w:eastAsia="仿宋_GB2312"/>
          <w:sz w:val="32"/>
          <w:szCs w:val="32"/>
        </w:rPr>
      </w:pPr>
      <w:r>
        <w:rPr>
          <w:rFonts w:eastAsia="仿宋_GB2312"/>
          <w:b/>
          <w:sz w:val="32"/>
          <w:szCs w:val="32"/>
        </w:rPr>
        <w:t xml:space="preserve">第十三条  </w:t>
      </w:r>
      <w:r>
        <w:rPr>
          <w:rFonts w:eastAsia="仿宋_GB2312"/>
          <w:sz w:val="32"/>
          <w:szCs w:val="32"/>
        </w:rPr>
        <w:t>本办法由太仓市人才办会同相关部门解释，各职能部门根据本办法制定相应的实施细则。</w:t>
      </w:r>
    </w:p>
    <w:p>
      <w:pPr>
        <w:spacing w:line="560" w:lineRule="exact"/>
        <w:ind w:firstLine="630"/>
        <w:rPr>
          <w:rFonts w:eastAsia="仿宋_GB2312"/>
          <w:sz w:val="32"/>
          <w:szCs w:val="32"/>
        </w:rPr>
      </w:pPr>
      <w:r>
        <w:rPr>
          <w:rFonts w:eastAsia="仿宋_GB2312"/>
          <w:b/>
          <w:sz w:val="32"/>
          <w:szCs w:val="32"/>
        </w:rPr>
        <w:t>第十四条</w:t>
      </w:r>
      <w:r>
        <w:rPr>
          <w:rFonts w:eastAsia="仿宋_GB2312"/>
          <w:sz w:val="32"/>
          <w:szCs w:val="32"/>
        </w:rPr>
        <w:t xml:space="preserve">  本办法自发布之日起实施。</w:t>
      </w:r>
    </w:p>
    <w:sectPr>
      <w:pgSz w:w="11907" w:h="16840"/>
      <w:pgMar w:top="2041" w:right="1531" w:bottom="1701"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方正大标宋简体">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2543"/>
    <w:rsid w:val="00004462"/>
    <w:rsid w:val="00007B25"/>
    <w:rsid w:val="00033D59"/>
    <w:rsid w:val="00040E33"/>
    <w:rsid w:val="0004191A"/>
    <w:rsid w:val="000658FF"/>
    <w:rsid w:val="00067643"/>
    <w:rsid w:val="0007711E"/>
    <w:rsid w:val="000775F0"/>
    <w:rsid w:val="00086C87"/>
    <w:rsid w:val="000B5F34"/>
    <w:rsid w:val="000C307D"/>
    <w:rsid w:val="000E4EDA"/>
    <w:rsid w:val="000E6603"/>
    <w:rsid w:val="00100DFD"/>
    <w:rsid w:val="0011003D"/>
    <w:rsid w:val="0011720C"/>
    <w:rsid w:val="00125734"/>
    <w:rsid w:val="0013186C"/>
    <w:rsid w:val="001375E1"/>
    <w:rsid w:val="0015191C"/>
    <w:rsid w:val="0015513A"/>
    <w:rsid w:val="0016166D"/>
    <w:rsid w:val="0016285F"/>
    <w:rsid w:val="001704E8"/>
    <w:rsid w:val="00172A27"/>
    <w:rsid w:val="00182726"/>
    <w:rsid w:val="001827B8"/>
    <w:rsid w:val="00182A65"/>
    <w:rsid w:val="00193C78"/>
    <w:rsid w:val="001A5727"/>
    <w:rsid w:val="001A72AC"/>
    <w:rsid w:val="001B3A57"/>
    <w:rsid w:val="001B64A0"/>
    <w:rsid w:val="001C06B8"/>
    <w:rsid w:val="001C3D95"/>
    <w:rsid w:val="001E3D92"/>
    <w:rsid w:val="001F0047"/>
    <w:rsid w:val="001F1D85"/>
    <w:rsid w:val="00201F6D"/>
    <w:rsid w:val="00202680"/>
    <w:rsid w:val="00213286"/>
    <w:rsid w:val="002313FC"/>
    <w:rsid w:val="00232456"/>
    <w:rsid w:val="00236DA6"/>
    <w:rsid w:val="00237B7C"/>
    <w:rsid w:val="00246F48"/>
    <w:rsid w:val="002508D4"/>
    <w:rsid w:val="00253AC9"/>
    <w:rsid w:val="0026149E"/>
    <w:rsid w:val="002638B4"/>
    <w:rsid w:val="002A307D"/>
    <w:rsid w:val="002C5692"/>
    <w:rsid w:val="002D40B0"/>
    <w:rsid w:val="002E3715"/>
    <w:rsid w:val="002E45EE"/>
    <w:rsid w:val="002E76EB"/>
    <w:rsid w:val="002F0937"/>
    <w:rsid w:val="002F31B5"/>
    <w:rsid w:val="002F406C"/>
    <w:rsid w:val="003118C0"/>
    <w:rsid w:val="00313B8F"/>
    <w:rsid w:val="00320E81"/>
    <w:rsid w:val="00342C74"/>
    <w:rsid w:val="003431F5"/>
    <w:rsid w:val="0034638D"/>
    <w:rsid w:val="0035308F"/>
    <w:rsid w:val="00353180"/>
    <w:rsid w:val="00362CA6"/>
    <w:rsid w:val="00367B44"/>
    <w:rsid w:val="00377354"/>
    <w:rsid w:val="003818A3"/>
    <w:rsid w:val="003950A1"/>
    <w:rsid w:val="003B2FA9"/>
    <w:rsid w:val="003E5F7A"/>
    <w:rsid w:val="003F7A38"/>
    <w:rsid w:val="0041501C"/>
    <w:rsid w:val="00433F75"/>
    <w:rsid w:val="00460C54"/>
    <w:rsid w:val="00465010"/>
    <w:rsid w:val="004801E4"/>
    <w:rsid w:val="00482474"/>
    <w:rsid w:val="00493188"/>
    <w:rsid w:val="00493448"/>
    <w:rsid w:val="004A6484"/>
    <w:rsid w:val="004D6944"/>
    <w:rsid w:val="004F7C0A"/>
    <w:rsid w:val="00513F69"/>
    <w:rsid w:val="005144F8"/>
    <w:rsid w:val="005160D9"/>
    <w:rsid w:val="00521461"/>
    <w:rsid w:val="00525B49"/>
    <w:rsid w:val="005568B1"/>
    <w:rsid w:val="00564C7C"/>
    <w:rsid w:val="00566007"/>
    <w:rsid w:val="00571581"/>
    <w:rsid w:val="0058096C"/>
    <w:rsid w:val="00585230"/>
    <w:rsid w:val="005A07F1"/>
    <w:rsid w:val="005A54D8"/>
    <w:rsid w:val="005A7481"/>
    <w:rsid w:val="005A74FD"/>
    <w:rsid w:val="005B55D0"/>
    <w:rsid w:val="005D2BB6"/>
    <w:rsid w:val="005D5ADE"/>
    <w:rsid w:val="005E1A4A"/>
    <w:rsid w:val="005E3161"/>
    <w:rsid w:val="00611C29"/>
    <w:rsid w:val="00612DED"/>
    <w:rsid w:val="0062363A"/>
    <w:rsid w:val="0062536B"/>
    <w:rsid w:val="006254EA"/>
    <w:rsid w:val="00626348"/>
    <w:rsid w:val="00637BBD"/>
    <w:rsid w:val="00637C56"/>
    <w:rsid w:val="0064110D"/>
    <w:rsid w:val="00646DEC"/>
    <w:rsid w:val="00655B06"/>
    <w:rsid w:val="0068782C"/>
    <w:rsid w:val="00693F8D"/>
    <w:rsid w:val="006A49CA"/>
    <w:rsid w:val="006A5D81"/>
    <w:rsid w:val="006B2207"/>
    <w:rsid w:val="006B2DC0"/>
    <w:rsid w:val="006E3BB2"/>
    <w:rsid w:val="006F0880"/>
    <w:rsid w:val="006F1733"/>
    <w:rsid w:val="006F3789"/>
    <w:rsid w:val="00701DB0"/>
    <w:rsid w:val="00721C1D"/>
    <w:rsid w:val="007267E2"/>
    <w:rsid w:val="0073203A"/>
    <w:rsid w:val="00736394"/>
    <w:rsid w:val="00737ECF"/>
    <w:rsid w:val="00737F26"/>
    <w:rsid w:val="00743E8E"/>
    <w:rsid w:val="007544D1"/>
    <w:rsid w:val="00776BC3"/>
    <w:rsid w:val="00785E1D"/>
    <w:rsid w:val="00791115"/>
    <w:rsid w:val="00793D28"/>
    <w:rsid w:val="00796AD7"/>
    <w:rsid w:val="007A001F"/>
    <w:rsid w:val="007B43BC"/>
    <w:rsid w:val="007B49E4"/>
    <w:rsid w:val="007B79DD"/>
    <w:rsid w:val="007C05BC"/>
    <w:rsid w:val="007C0D81"/>
    <w:rsid w:val="007C61FB"/>
    <w:rsid w:val="007D1154"/>
    <w:rsid w:val="007D2F51"/>
    <w:rsid w:val="007E4A3D"/>
    <w:rsid w:val="007F22D1"/>
    <w:rsid w:val="007F5A85"/>
    <w:rsid w:val="0080047D"/>
    <w:rsid w:val="00800D59"/>
    <w:rsid w:val="008037CA"/>
    <w:rsid w:val="00872833"/>
    <w:rsid w:val="00883EC1"/>
    <w:rsid w:val="00893E07"/>
    <w:rsid w:val="00894020"/>
    <w:rsid w:val="008A1B60"/>
    <w:rsid w:val="008D2E37"/>
    <w:rsid w:val="008E0F7E"/>
    <w:rsid w:val="00901444"/>
    <w:rsid w:val="0090282C"/>
    <w:rsid w:val="00902BB0"/>
    <w:rsid w:val="0090425B"/>
    <w:rsid w:val="009169B5"/>
    <w:rsid w:val="009331F4"/>
    <w:rsid w:val="009513AA"/>
    <w:rsid w:val="00960FED"/>
    <w:rsid w:val="009625C7"/>
    <w:rsid w:val="009645C7"/>
    <w:rsid w:val="00971205"/>
    <w:rsid w:val="009732BC"/>
    <w:rsid w:val="00975F60"/>
    <w:rsid w:val="00984A88"/>
    <w:rsid w:val="00990E44"/>
    <w:rsid w:val="00993B34"/>
    <w:rsid w:val="00997ECA"/>
    <w:rsid w:val="009A10F5"/>
    <w:rsid w:val="009A2681"/>
    <w:rsid w:val="009A27F7"/>
    <w:rsid w:val="009A6482"/>
    <w:rsid w:val="009B1815"/>
    <w:rsid w:val="009B57E1"/>
    <w:rsid w:val="009D082A"/>
    <w:rsid w:val="009D086C"/>
    <w:rsid w:val="009E0A70"/>
    <w:rsid w:val="00A0040A"/>
    <w:rsid w:val="00A05D75"/>
    <w:rsid w:val="00A10FC0"/>
    <w:rsid w:val="00A137A0"/>
    <w:rsid w:val="00A21807"/>
    <w:rsid w:val="00A22B9E"/>
    <w:rsid w:val="00A256A6"/>
    <w:rsid w:val="00A33575"/>
    <w:rsid w:val="00A74D1C"/>
    <w:rsid w:val="00A8089B"/>
    <w:rsid w:val="00AD353A"/>
    <w:rsid w:val="00AD5C01"/>
    <w:rsid w:val="00AE0594"/>
    <w:rsid w:val="00AF4540"/>
    <w:rsid w:val="00AF59D9"/>
    <w:rsid w:val="00B047AE"/>
    <w:rsid w:val="00B053C5"/>
    <w:rsid w:val="00B15427"/>
    <w:rsid w:val="00B202F6"/>
    <w:rsid w:val="00B2798B"/>
    <w:rsid w:val="00B3329D"/>
    <w:rsid w:val="00B33C21"/>
    <w:rsid w:val="00B641A8"/>
    <w:rsid w:val="00B75ECA"/>
    <w:rsid w:val="00B85987"/>
    <w:rsid w:val="00B8732F"/>
    <w:rsid w:val="00B914E8"/>
    <w:rsid w:val="00B95912"/>
    <w:rsid w:val="00BA07D2"/>
    <w:rsid w:val="00BA2C3C"/>
    <w:rsid w:val="00BC0A92"/>
    <w:rsid w:val="00BC5666"/>
    <w:rsid w:val="00BC6C3A"/>
    <w:rsid w:val="00BE1AD0"/>
    <w:rsid w:val="00BE30B8"/>
    <w:rsid w:val="00BE6DC0"/>
    <w:rsid w:val="00BF1828"/>
    <w:rsid w:val="00C05481"/>
    <w:rsid w:val="00C144E9"/>
    <w:rsid w:val="00C202C6"/>
    <w:rsid w:val="00C32CA8"/>
    <w:rsid w:val="00C40D59"/>
    <w:rsid w:val="00C5359D"/>
    <w:rsid w:val="00C740A4"/>
    <w:rsid w:val="00C765F8"/>
    <w:rsid w:val="00C8663B"/>
    <w:rsid w:val="00CB52F6"/>
    <w:rsid w:val="00CB6E5C"/>
    <w:rsid w:val="00CE5F15"/>
    <w:rsid w:val="00CF4053"/>
    <w:rsid w:val="00D00B2F"/>
    <w:rsid w:val="00D130FD"/>
    <w:rsid w:val="00D174B7"/>
    <w:rsid w:val="00D342FA"/>
    <w:rsid w:val="00D3496B"/>
    <w:rsid w:val="00D35C56"/>
    <w:rsid w:val="00D54326"/>
    <w:rsid w:val="00D551EB"/>
    <w:rsid w:val="00D57CE1"/>
    <w:rsid w:val="00D64B5D"/>
    <w:rsid w:val="00D725C3"/>
    <w:rsid w:val="00D92DA6"/>
    <w:rsid w:val="00DA38F7"/>
    <w:rsid w:val="00DA70FF"/>
    <w:rsid w:val="00DE70AA"/>
    <w:rsid w:val="00DF5A1A"/>
    <w:rsid w:val="00DF6CD7"/>
    <w:rsid w:val="00E01EB9"/>
    <w:rsid w:val="00E15E6B"/>
    <w:rsid w:val="00E1765B"/>
    <w:rsid w:val="00E23DEE"/>
    <w:rsid w:val="00E36171"/>
    <w:rsid w:val="00E43560"/>
    <w:rsid w:val="00E5469B"/>
    <w:rsid w:val="00E56C49"/>
    <w:rsid w:val="00E573CF"/>
    <w:rsid w:val="00E63608"/>
    <w:rsid w:val="00E77503"/>
    <w:rsid w:val="00E77C32"/>
    <w:rsid w:val="00E83E1D"/>
    <w:rsid w:val="00E84487"/>
    <w:rsid w:val="00E8527F"/>
    <w:rsid w:val="00E9336B"/>
    <w:rsid w:val="00EA44C9"/>
    <w:rsid w:val="00EC0878"/>
    <w:rsid w:val="00EF13EB"/>
    <w:rsid w:val="00F13292"/>
    <w:rsid w:val="00F17269"/>
    <w:rsid w:val="00F17422"/>
    <w:rsid w:val="00F34581"/>
    <w:rsid w:val="00F42CCF"/>
    <w:rsid w:val="00F50FB2"/>
    <w:rsid w:val="00F567DB"/>
    <w:rsid w:val="00F57E23"/>
    <w:rsid w:val="00F62F16"/>
    <w:rsid w:val="00F62FA2"/>
    <w:rsid w:val="00F73D5C"/>
    <w:rsid w:val="00F75DF1"/>
    <w:rsid w:val="00F77BD9"/>
    <w:rsid w:val="00F80438"/>
    <w:rsid w:val="00F83D86"/>
    <w:rsid w:val="00FB6ED2"/>
    <w:rsid w:val="00FB798E"/>
    <w:rsid w:val="00FC19F0"/>
    <w:rsid w:val="00FC6F2A"/>
    <w:rsid w:val="00FD0E09"/>
    <w:rsid w:val="00FD325A"/>
    <w:rsid w:val="00FD35B4"/>
    <w:rsid w:val="00FD41C2"/>
    <w:rsid w:val="00FD5130"/>
    <w:rsid w:val="00FD5D91"/>
    <w:rsid w:val="5D323BA2"/>
    <w:rsid w:val="77BD45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uiPriority w:val="0"/>
    <w:pPr>
      <w:snapToGrid w:val="0"/>
      <w:spacing w:line="520" w:lineRule="atLeast"/>
    </w:pPr>
    <w:rPr>
      <w:rFonts w:ascii="宋体"/>
      <w:sz w:val="28"/>
    </w:rPr>
  </w:style>
  <w:style w:type="paragraph" w:styleId="3">
    <w:name w:val="Plain Text"/>
    <w:basedOn w:val="1"/>
    <w:uiPriority w:val="0"/>
    <w:rPr>
      <w:rFonts w:ascii="宋体" w:hAnsi="Courier New"/>
    </w:rPr>
  </w:style>
  <w:style w:type="paragraph" w:styleId="4">
    <w:name w:val="Balloon Text"/>
    <w:basedOn w:val="1"/>
    <w:uiPriority w:val="0"/>
    <w:rPr>
      <w:sz w:val="18"/>
    </w:rPr>
  </w:style>
  <w:style w:type="paragraph" w:styleId="5">
    <w:name w:val="footer"/>
    <w:basedOn w:val="1"/>
    <w:link w:val="9"/>
    <w:uiPriority w:val="0"/>
    <w:pPr>
      <w:tabs>
        <w:tab w:val="center" w:pos="4153"/>
        <w:tab w:val="right" w:pos="8306"/>
      </w:tabs>
      <w:snapToGrid w:val="0"/>
      <w:jc w:val="left"/>
    </w:pPr>
    <w:rPr>
      <w:sz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rPr>
  </w:style>
  <w:style w:type="character" w:customStyle="1" w:styleId="9">
    <w:name w:val="页脚 Char"/>
    <w:basedOn w:val="7"/>
    <w:link w:val="5"/>
    <w:qFormat/>
    <w:uiPriority w:val="0"/>
    <w:rPr>
      <w:kern w:val="2"/>
      <w:sz w:val="18"/>
    </w:rPr>
  </w:style>
  <w:style w:type="character" w:customStyle="1" w:styleId="10">
    <w:name w:val="页眉 Char"/>
    <w:basedOn w:val="7"/>
    <w:link w:val="6"/>
    <w:uiPriority w:val="0"/>
    <w:rPr>
      <w:kern w:val="2"/>
      <w:sz w:val="18"/>
    </w:rPr>
  </w:style>
  <w:style w:type="paragraph" w:customStyle="1" w:styleId="11">
    <w:name w:val="Char1 Char Char Char Char Char Char Char Char Char"/>
    <w:basedOn w:val="1"/>
    <w:uiPriority w:val="0"/>
    <w:rPr>
      <w:rFonts w:ascii="Tahoma" w:hAnsi="Tahoma"/>
      <w:sz w:val="24"/>
    </w:rPr>
  </w:style>
  <w:style w:type="paragraph" w:customStyle="1" w:styleId="12">
    <w:name w:val="Char Char Char Char Char Char Char"/>
    <w:basedOn w:val="1"/>
    <w:next w:val="1"/>
    <w:uiPriority w:val="0"/>
    <w:pPr>
      <w:widowControl/>
      <w:spacing w:line="400" w:lineRule="exact"/>
      <w:jc w:val="left"/>
    </w:pPr>
    <w:rPr>
      <w:rFonts w:ascii="Arial" w:hAnsi="Arial"/>
      <w:kern w:val="0"/>
      <w:szCs w:val="21"/>
      <w:lang w:eastAsia="en-US"/>
    </w:rPr>
  </w:style>
  <w:style w:type="paragraph" w:customStyle="1" w:styleId="13">
    <w:name w:val="Char Char Char Char Char Char Char Char Char Char Char Char Char Char Char"/>
    <w:basedOn w:val="1"/>
    <w:uiPriority w:val="0"/>
    <w:rPr>
      <w:szCs w:val="24"/>
    </w:rPr>
  </w:style>
  <w:style w:type="paragraph" w:customStyle="1" w:styleId="14">
    <w:name w:val="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5">
    <w:name w:val="Char1"/>
    <w:basedOn w:val="1"/>
    <w:uiPriority w:val="0"/>
    <w:pPr>
      <w:tabs>
        <w:tab w:val="left" w:pos="360"/>
      </w:tabs>
    </w:pPr>
    <w:rPr>
      <w:sz w:val="24"/>
      <w:szCs w:val="24"/>
    </w:rPr>
  </w:style>
  <w:style w:type="paragraph" w:customStyle="1" w:styleId="16">
    <w:name w:val="Char Char Char Char Char Char Char1"/>
    <w:basedOn w:val="1"/>
    <w:next w:val="1"/>
    <w:uiPriority w:val="0"/>
    <w:pPr>
      <w:widowControl/>
      <w:spacing w:line="400" w:lineRule="exact"/>
      <w:jc w:val="left"/>
    </w:pPr>
  </w:style>
  <w:style w:type="paragraph" w:customStyle="1" w:styleId="17">
    <w:name w:val="Char Char Char Char Char Char Char Char Char Char Char Char Char"/>
    <w:basedOn w:val="1"/>
    <w:qFormat/>
    <w:uiPriority w:val="0"/>
    <w:pPr>
      <w:widowControl/>
      <w:spacing w:after="160" w:line="240" w:lineRule="exact"/>
      <w:jc w:val="left"/>
    </w:pPr>
    <w:rPr>
      <w:rFonts w:ascii="Arial" w:hAnsi="Arial" w:eastAsia="Times New Roman" w:cs="Verdana"/>
      <w:b/>
      <w:kern w:val="0"/>
      <w:sz w:val="24"/>
      <w:szCs w:val="3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676</Words>
  <Characters>3854</Characters>
  <Lines>32</Lines>
  <Paragraphs>9</Paragraphs>
  <TotalTime>26</TotalTime>
  <ScaleCrop>false</ScaleCrop>
  <LinksUpToDate>false</LinksUpToDate>
  <CharactersWithSpaces>4521</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2015-10-14T05:07:00Z</dcterms:created>
  <dc:creator>205</dc:creator>
  <cp:lastModifiedBy>阳光浪子</cp:lastModifiedBy>
  <cp:lastPrinted>2015-10-10T02:39:00Z</cp:lastPrinted>
  <dcterms:modified xsi:type="dcterms:W3CDTF">2018-08-21T08:14:35Z</dcterms:modified>
  <dc:title>                                        办公室</dc:title>
  <cp:revision>114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